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63BB8" w14:textId="77777777" w:rsidR="00210A61" w:rsidRDefault="00210A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E51832" w14:textId="6087CB11" w:rsidR="003710B7" w:rsidRPr="00DF731E" w:rsidRDefault="004B64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731E">
        <w:rPr>
          <w:rFonts w:ascii="Times New Roman" w:hAnsi="Times New Roman" w:cs="Times New Roman"/>
          <w:b/>
          <w:bCs/>
          <w:sz w:val="28"/>
          <w:szCs w:val="28"/>
        </w:rPr>
        <w:t>Ο Μαρξ για «τους ανθρώπους του άρχοντα»</w:t>
      </w:r>
    </w:p>
    <w:p w14:paraId="25E0F6E8" w14:textId="77777777" w:rsidR="002F3917" w:rsidRPr="00DF731E" w:rsidRDefault="002F3917" w:rsidP="002F3917">
      <w:pPr>
        <w:spacing w:after="0" w:line="360" w:lineRule="auto"/>
        <w:ind w:left="567" w:firstLine="720"/>
        <w:jc w:val="both"/>
        <w:rPr>
          <w:rFonts w:ascii="Times New Roman" w:hAnsi="Times New Roman"/>
          <w:i/>
          <w:sz w:val="28"/>
          <w:szCs w:val="28"/>
        </w:rPr>
      </w:pPr>
      <w:r w:rsidRPr="00DF731E">
        <w:rPr>
          <w:rFonts w:ascii="Times New Roman" w:hAnsi="Times New Roman"/>
          <w:i/>
          <w:sz w:val="28"/>
          <w:szCs w:val="28"/>
        </w:rPr>
        <w:t xml:space="preserve">«Στη Γαλλία, ο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règisseur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(επιμελητής, διαχειριστής χτήματος), ο επιστάτης και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εισπράχτορας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των δοσιμάτων στο φεουδάρχη αφέντη των αρχών του μεσαίωνα γίνεται γρήγορα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homme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d’ </w:t>
      </w:r>
      <w:r w:rsidRPr="00DF731E">
        <w:rPr>
          <w:rFonts w:ascii="Times New Roman" w:hAnsi="Times New Roman"/>
          <w:i/>
          <w:sz w:val="28"/>
          <w:szCs w:val="28"/>
          <w:lang w:val="it-IT"/>
        </w:rPr>
        <w:t>affaires</w:t>
      </w:r>
      <w:r w:rsidRPr="00DF731E">
        <w:rPr>
          <w:rFonts w:ascii="Times New Roman" w:hAnsi="Times New Roman"/>
          <w:i/>
          <w:sz w:val="28"/>
          <w:szCs w:val="28"/>
        </w:rPr>
        <w:t xml:space="preserve"> (επιχειρηματίας) που μ` εκβιασμούς, απάτες κλπ. εξελίσσεται σε κεφαλαιοκράτη. Αυτοί οι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règisseurs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ήτανε κάποτε πολύ καθώς πρέπει άνθρωποι.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Λογουχάρη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: «το λογαριασμό αυτό τον υποβάλλει ο κύριος Ζακ ντε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Τοραίς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, ιππότης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καστελλάνος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του πύργου της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Μπεζανσόν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, στον κύριο που κρατάει στη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Ντιζόν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τους λογαριασμούς του κυρίου δούκα και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κόμητα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της Βουργουνδίας σχετικά με τις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πρόσοδες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που ανήκουν στην πιο πάνω χωροδεσποτεία</w:t>
      </w:r>
      <w:r w:rsidRPr="00DF731E">
        <w:rPr>
          <w:rFonts w:ascii="Times New Roman" w:hAnsi="Times New Roman"/>
          <w:i/>
          <w:sz w:val="28"/>
          <w:szCs w:val="28"/>
        </w:rPr>
        <w:t xml:space="preserve"> </w:t>
      </w:r>
      <w:r w:rsidRPr="00DF731E">
        <w:rPr>
          <w:rFonts w:ascii="Times New Roman" w:hAnsi="Times New Roman"/>
          <w:i/>
          <w:sz w:val="28"/>
          <w:szCs w:val="28"/>
        </w:rPr>
        <w:t xml:space="preserve">από τις 25 του Δεκέμβρη του 1359 ως τις 28 του Δεκέμβρη του 1360». </w:t>
      </w:r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(Alexis </w:t>
      </w:r>
      <w:proofErr w:type="gramStart"/>
      <w:r w:rsidRPr="00DF731E">
        <w:rPr>
          <w:rFonts w:ascii="Times New Roman" w:hAnsi="Times New Roman"/>
          <w:i/>
          <w:sz w:val="28"/>
          <w:szCs w:val="28"/>
          <w:lang w:val="fr-FR"/>
        </w:rPr>
        <w:t>Monteil:</w:t>
      </w:r>
      <w:proofErr w:type="gramEnd"/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F731E">
        <w:rPr>
          <w:rFonts w:ascii="Times New Roman" w:hAnsi="Times New Roman"/>
          <w:i/>
          <w:sz w:val="28"/>
          <w:szCs w:val="28"/>
          <w:lang w:val="fr-FR"/>
        </w:rPr>
        <w:t>Traitè</w:t>
      </w:r>
      <w:proofErr w:type="spellEnd"/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 des </w:t>
      </w:r>
      <w:proofErr w:type="spellStart"/>
      <w:r w:rsidRPr="00DF731E">
        <w:rPr>
          <w:rFonts w:ascii="Times New Roman" w:hAnsi="Times New Roman"/>
          <w:i/>
          <w:sz w:val="28"/>
          <w:szCs w:val="28"/>
          <w:lang w:val="fr-FR"/>
        </w:rPr>
        <w:t>Matèriaux</w:t>
      </w:r>
      <w:proofErr w:type="spellEnd"/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 Manuscrits </w:t>
      </w:r>
      <w:proofErr w:type="spellStart"/>
      <w:r w:rsidRPr="00DF731E">
        <w:rPr>
          <w:rFonts w:ascii="Times New Roman" w:hAnsi="Times New Roman"/>
          <w:i/>
          <w:sz w:val="28"/>
          <w:szCs w:val="28"/>
          <w:lang w:val="fr-FR"/>
        </w:rPr>
        <w:t>etc</w:t>
      </w:r>
      <w:proofErr w:type="spellEnd"/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»., </w:t>
      </w:r>
      <w:r w:rsidRPr="00DF731E">
        <w:rPr>
          <w:rFonts w:ascii="Times New Roman" w:hAnsi="Times New Roman"/>
          <w:i/>
          <w:sz w:val="28"/>
          <w:szCs w:val="28"/>
        </w:rPr>
        <w:t>τόμος</w:t>
      </w:r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DF731E">
        <w:rPr>
          <w:rFonts w:ascii="Times New Roman" w:hAnsi="Times New Roman"/>
          <w:i/>
          <w:sz w:val="28"/>
          <w:szCs w:val="28"/>
        </w:rPr>
        <w:t>Ι</w:t>
      </w:r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σελ</w:t>
      </w:r>
      <w:proofErr w:type="spellEnd"/>
      <w:r w:rsidRPr="00DF731E">
        <w:rPr>
          <w:rFonts w:ascii="Times New Roman" w:hAnsi="Times New Roman"/>
          <w:i/>
          <w:sz w:val="28"/>
          <w:szCs w:val="28"/>
          <w:lang w:val="fr-FR"/>
        </w:rPr>
        <w:t xml:space="preserve">. 234). </w:t>
      </w:r>
      <w:r w:rsidRPr="00DF731E">
        <w:rPr>
          <w:rFonts w:ascii="Times New Roman" w:hAnsi="Times New Roman"/>
          <w:i/>
          <w:sz w:val="28"/>
          <w:szCs w:val="28"/>
        </w:rPr>
        <w:t>Όπως σ` όλες τις σφαίρες της κοινωνικής ζωής, έτσι κι εδώ βλέπουμε πως η μερίδα του λέοντος περιέρχεται στο μεσάζοντα. (…) Όπως στη Γαλλία, έτσι και στην Αγγλία, οι μεγάλες φεουδαρχικές περιοχές ήταν μοιρασμένες σ` απειράριθμα μικρά νοικοκυριά, μα σε συνθήκες ασύγκριτα πιο δυσμενείς για τον αγροτικό πληθυσμό. Το 14</w:t>
      </w:r>
      <w:r w:rsidRPr="00DF731E">
        <w:rPr>
          <w:rFonts w:ascii="Times New Roman" w:hAnsi="Times New Roman"/>
          <w:i/>
          <w:sz w:val="28"/>
          <w:szCs w:val="28"/>
          <w:vertAlign w:val="superscript"/>
        </w:rPr>
        <w:t>ο</w:t>
      </w:r>
      <w:r w:rsidRPr="00DF731E">
        <w:rPr>
          <w:rFonts w:ascii="Times New Roman" w:hAnsi="Times New Roman"/>
          <w:i/>
          <w:sz w:val="28"/>
          <w:szCs w:val="28"/>
        </w:rPr>
        <w:t xml:space="preserve"> αιώνα κάναν την εμφάνισή τους οι παχτώσεις, οι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fermes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(φάρμες) ή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terriers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, όπως λέγονταν. Ο αριθμός τους αύξανε διαρκώς και ξεπέρασε σημαντικά τις 100.000.  Πλήρωναν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γαιοπρόσοδο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σε χρήμα ή σε είδος που ποίκιλλε από το 1/`2 ως το 1/5 του προϊόντος. Τα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terriers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ήταν τιμάρια ή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υποτιμάρια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κλπ. (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fiefs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, </w:t>
      </w:r>
      <w:r w:rsidRPr="00DF731E">
        <w:rPr>
          <w:rFonts w:ascii="Times New Roman" w:hAnsi="Times New Roman"/>
          <w:i/>
          <w:sz w:val="28"/>
          <w:szCs w:val="28"/>
          <w:lang w:val="it-IT"/>
        </w:rPr>
        <w:t>arri</w:t>
      </w:r>
      <w:r w:rsidRPr="00DF731E">
        <w:rPr>
          <w:rFonts w:ascii="Times New Roman" w:hAnsi="Times New Roman"/>
          <w:i/>
          <w:sz w:val="28"/>
          <w:szCs w:val="28"/>
        </w:rPr>
        <w:t>è</w:t>
      </w:r>
      <w:r w:rsidRPr="00DF731E">
        <w:rPr>
          <w:rFonts w:ascii="Times New Roman" w:hAnsi="Times New Roman"/>
          <w:i/>
          <w:sz w:val="28"/>
          <w:szCs w:val="28"/>
          <w:lang w:val="it-IT"/>
        </w:rPr>
        <w:t>re</w:t>
      </w:r>
      <w:r w:rsidRPr="00DF731E">
        <w:rPr>
          <w:rFonts w:ascii="Times New Roman" w:hAnsi="Times New Roman"/>
          <w:i/>
          <w:sz w:val="28"/>
          <w:szCs w:val="28"/>
        </w:rPr>
        <w:t xml:space="preserve"> – </w:t>
      </w:r>
      <w:r w:rsidRPr="00DF731E">
        <w:rPr>
          <w:rFonts w:ascii="Times New Roman" w:hAnsi="Times New Roman"/>
          <w:i/>
          <w:sz w:val="28"/>
          <w:szCs w:val="28"/>
          <w:lang w:val="it-IT"/>
        </w:rPr>
        <w:t>fiefs</w:t>
      </w:r>
      <w:r w:rsidRPr="00DF731E">
        <w:rPr>
          <w:rFonts w:ascii="Times New Roman" w:hAnsi="Times New Roman"/>
          <w:i/>
          <w:sz w:val="28"/>
          <w:szCs w:val="28"/>
        </w:rPr>
        <w:t xml:space="preserve">), ανάλογα με την αξία και την έκταση των χτημάτων, από τα οποία μερικά είχαν μονάχα λίγα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arpents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, (1 </w:t>
      </w:r>
      <w:r w:rsidRPr="00DF731E">
        <w:rPr>
          <w:rFonts w:ascii="Times New Roman" w:hAnsi="Times New Roman"/>
          <w:i/>
          <w:sz w:val="28"/>
          <w:szCs w:val="28"/>
          <w:lang w:val="it-IT"/>
        </w:rPr>
        <w:t>arpent</w:t>
      </w:r>
      <w:r w:rsidRPr="00DF731E">
        <w:rPr>
          <w:rFonts w:ascii="Times New Roman" w:hAnsi="Times New Roman"/>
          <w:i/>
          <w:sz w:val="28"/>
          <w:szCs w:val="28"/>
        </w:rPr>
        <w:t xml:space="preserve"> = περίπου 5 στρέμματα) γη. Όλοι οι κάτοχοι αυτών των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terriers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 xml:space="preserve"> είχαν δικαστική δικαιοδοσία κάποιου βαθμού πάνω στους κατοίκους που έμεναν στην περιοχή τους. Υπήρχαν τέσσερις τέτοιοι </w:t>
      </w:r>
      <w:r w:rsidRPr="00DF731E">
        <w:rPr>
          <w:rFonts w:ascii="Times New Roman" w:hAnsi="Times New Roman"/>
          <w:i/>
          <w:sz w:val="28"/>
          <w:szCs w:val="28"/>
        </w:rPr>
        <w:lastRenderedPageBreak/>
        <w:t xml:space="preserve">βαθμοί. Καταλαβαίνουμε την πίεση που ασκούνταν πάνω στους κατοίκους της υπαίθρου απ` όλους αυτούς τους </w:t>
      </w:r>
      <w:proofErr w:type="spellStart"/>
      <w:r w:rsidRPr="00DF731E">
        <w:rPr>
          <w:rFonts w:ascii="Times New Roman" w:hAnsi="Times New Roman"/>
          <w:i/>
          <w:sz w:val="28"/>
          <w:szCs w:val="28"/>
        </w:rPr>
        <w:t>μικροτυράννους</w:t>
      </w:r>
      <w:proofErr w:type="spellEnd"/>
      <w:r w:rsidRPr="00DF731E">
        <w:rPr>
          <w:rFonts w:ascii="Times New Roman" w:hAnsi="Times New Roman"/>
          <w:i/>
          <w:sz w:val="28"/>
          <w:szCs w:val="28"/>
        </w:rPr>
        <w:t>».</w:t>
      </w:r>
      <w:r w:rsidRPr="00DF731E">
        <w:rPr>
          <w:rStyle w:val="ab"/>
          <w:rFonts w:ascii="Times New Roman" w:hAnsi="Times New Roman"/>
          <w:sz w:val="28"/>
          <w:szCs w:val="28"/>
        </w:rPr>
        <w:footnoteReference w:id="1"/>
      </w:r>
    </w:p>
    <w:p w14:paraId="6D01D1CE" w14:textId="426CEB56" w:rsidR="002F3917" w:rsidRPr="00DF731E" w:rsidRDefault="002F391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F3917" w:rsidRPr="00DF7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D925E" w14:textId="77777777" w:rsidR="007E71E8" w:rsidRDefault="007E71E8" w:rsidP="002F3917">
      <w:pPr>
        <w:spacing w:after="0" w:line="240" w:lineRule="auto"/>
      </w:pPr>
      <w:r>
        <w:separator/>
      </w:r>
    </w:p>
  </w:endnote>
  <w:endnote w:type="continuationSeparator" w:id="0">
    <w:p w14:paraId="2DEF9435" w14:textId="77777777" w:rsidR="007E71E8" w:rsidRDefault="007E71E8" w:rsidP="002F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D2E74" w14:textId="77777777" w:rsidR="007E71E8" w:rsidRDefault="007E71E8" w:rsidP="002F3917">
      <w:pPr>
        <w:spacing w:after="0" w:line="240" w:lineRule="auto"/>
      </w:pPr>
      <w:r>
        <w:separator/>
      </w:r>
    </w:p>
  </w:footnote>
  <w:footnote w:type="continuationSeparator" w:id="0">
    <w:p w14:paraId="0633F8C1" w14:textId="77777777" w:rsidR="007E71E8" w:rsidRDefault="007E71E8" w:rsidP="002F3917">
      <w:pPr>
        <w:spacing w:after="0" w:line="240" w:lineRule="auto"/>
      </w:pPr>
      <w:r>
        <w:continuationSeparator/>
      </w:r>
    </w:p>
  </w:footnote>
  <w:footnote w:id="1">
    <w:p w14:paraId="678D1FE7" w14:textId="77777777" w:rsidR="002F3917" w:rsidRDefault="002F3917" w:rsidP="002F3917">
      <w:pPr>
        <w:pStyle w:val="aa"/>
        <w:jc w:val="both"/>
      </w:pPr>
      <w:r>
        <w:rPr>
          <w:rStyle w:val="ab"/>
          <w:rFonts w:eastAsiaTheme="majorEastAsia"/>
        </w:rPr>
        <w:footnoteRef/>
      </w:r>
      <w:r>
        <w:t xml:space="preserve"> Καρλ Μαρξ: Το Κεφάλαιο, τόμος 1</w:t>
      </w:r>
      <w:r w:rsidRPr="007D2282">
        <w:rPr>
          <w:vertAlign w:val="superscript"/>
        </w:rPr>
        <w:t>ος</w:t>
      </w:r>
      <w:r>
        <w:t>,  μέρος 3</w:t>
      </w:r>
      <w:r w:rsidRPr="007D2282">
        <w:rPr>
          <w:vertAlign w:val="superscript"/>
        </w:rPr>
        <w:t>ο</w:t>
      </w:r>
      <w:r>
        <w:t>, κεφάλαιο 24</w:t>
      </w:r>
      <w:r w:rsidRPr="007D2282">
        <w:rPr>
          <w:vertAlign w:val="superscript"/>
        </w:rPr>
        <w:t>ο</w:t>
      </w:r>
      <w:r>
        <w:t xml:space="preserve"> («Η λεγόμενη πρωταρχική συσσώρευση», υποσημείωση 299, στο </w:t>
      </w:r>
      <w:proofErr w:type="spellStart"/>
      <w:r>
        <w:t>υποκεφάλαιο</w:t>
      </w:r>
      <w:proofErr w:type="spellEnd"/>
      <w:r>
        <w:t xml:space="preserve"> 4 («Η γένεση των κεφαλαιοκρατών </w:t>
      </w:r>
      <w:proofErr w:type="spellStart"/>
      <w:r>
        <w:t>παχτωτών</w:t>
      </w:r>
      <w:proofErr w:type="spellEnd"/>
      <w:r>
        <w:t>». (</w:t>
      </w:r>
      <w:proofErr w:type="spellStart"/>
      <w:r>
        <w:t>Εκδ</w:t>
      </w:r>
      <w:proofErr w:type="spellEnd"/>
      <w:r>
        <w:t>. «Σύγχρονη Εποχή, Αθήνα, 2002, μετάφραση Παναγιώτη Μαυρομάτη, σελ. 767).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B1"/>
    <w:rsid w:val="00210A61"/>
    <w:rsid w:val="002F3917"/>
    <w:rsid w:val="003710B7"/>
    <w:rsid w:val="0047140A"/>
    <w:rsid w:val="004B64B1"/>
    <w:rsid w:val="007E71E8"/>
    <w:rsid w:val="007E7DA0"/>
    <w:rsid w:val="00D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6D33"/>
  <w15:chartTrackingRefBased/>
  <w15:docId w15:val="{481270B0-F5B8-4A85-B1BD-3B071BE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B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64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64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64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64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64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6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B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B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B64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64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64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B64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64B1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semiHidden/>
    <w:rsid w:val="002F39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har3">
    <w:name w:val="Κείμενο υποσημείωσης Char"/>
    <w:basedOn w:val="a0"/>
    <w:link w:val="aa"/>
    <w:semiHidden/>
    <w:rsid w:val="002F39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b">
    <w:name w:val="footnote reference"/>
    <w:semiHidden/>
    <w:rsid w:val="002F39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Μόσχου</dc:creator>
  <cp:keywords/>
  <dc:description/>
  <cp:lastModifiedBy>Δώρα Μόσχου</cp:lastModifiedBy>
  <cp:revision>4</cp:revision>
  <dcterms:created xsi:type="dcterms:W3CDTF">2024-04-24T20:07:00Z</dcterms:created>
  <dcterms:modified xsi:type="dcterms:W3CDTF">2024-04-24T20:10:00Z</dcterms:modified>
</cp:coreProperties>
</file>