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8B417" w14:textId="1B6F373E" w:rsidR="00797128" w:rsidRPr="00DD72AC" w:rsidRDefault="00797128" w:rsidP="00D961D4">
      <w:pPr>
        <w:pStyle w:val="Web"/>
        <w:shd w:val="clear" w:color="auto" w:fill="FFFFFF"/>
        <w:spacing w:before="0" w:beforeAutospacing="0" w:after="0" w:afterAutospacing="0"/>
        <w:ind w:firstLine="720"/>
        <w:jc w:val="both"/>
        <w:rPr>
          <w:b/>
          <w:bCs/>
          <w:i/>
          <w:iCs/>
          <w:color w:val="494949"/>
        </w:rPr>
      </w:pPr>
      <w:r w:rsidRPr="00DD72AC">
        <w:rPr>
          <w:b/>
          <w:bCs/>
          <w:i/>
          <w:iCs/>
          <w:color w:val="494949"/>
        </w:rPr>
        <w:t xml:space="preserve">Απόσπασμα από το έργο του Φρίντριχ </w:t>
      </w:r>
      <w:proofErr w:type="spellStart"/>
      <w:r w:rsidRPr="00DD72AC">
        <w:rPr>
          <w:b/>
          <w:bCs/>
          <w:i/>
          <w:iCs/>
          <w:color w:val="494949"/>
        </w:rPr>
        <w:t>Ένγκελς</w:t>
      </w:r>
      <w:proofErr w:type="spellEnd"/>
      <w:r w:rsidRPr="00DD72AC">
        <w:rPr>
          <w:b/>
          <w:bCs/>
          <w:i/>
          <w:iCs/>
          <w:color w:val="494949"/>
        </w:rPr>
        <w:t xml:space="preserve">: «Η καταγωγή της οικογένειας, της ατομικής ιδιοκτησίας και του κράτους». </w:t>
      </w:r>
    </w:p>
    <w:p w14:paraId="5F72F921" w14:textId="77777777" w:rsidR="00A26B1B" w:rsidRPr="00DD72AC" w:rsidRDefault="00A26B1B" w:rsidP="00D961D4">
      <w:pPr>
        <w:pStyle w:val="Web"/>
        <w:shd w:val="clear" w:color="auto" w:fill="FFFFFF"/>
        <w:spacing w:before="0" w:beforeAutospacing="0" w:after="0" w:afterAutospacing="0"/>
        <w:ind w:firstLine="720"/>
        <w:jc w:val="both"/>
        <w:rPr>
          <w:b/>
          <w:bCs/>
          <w:i/>
          <w:iCs/>
          <w:color w:val="494949"/>
          <w:u w:val="single"/>
        </w:rPr>
      </w:pPr>
    </w:p>
    <w:p w14:paraId="67D8C212" w14:textId="29132B5B" w:rsidR="00797128" w:rsidRPr="00DD72AC" w:rsidRDefault="00797128" w:rsidP="00D961D4">
      <w:pPr>
        <w:pStyle w:val="Web"/>
        <w:shd w:val="clear" w:color="auto" w:fill="FFFFFF"/>
        <w:spacing w:before="0" w:beforeAutospacing="0" w:after="0" w:afterAutospacing="0"/>
        <w:ind w:firstLine="720"/>
        <w:jc w:val="both"/>
        <w:rPr>
          <w:b/>
          <w:bCs/>
          <w:i/>
          <w:iCs/>
          <w:color w:val="494949"/>
          <w:u w:val="single"/>
        </w:rPr>
      </w:pPr>
      <w:r w:rsidRPr="00DD72AC">
        <w:rPr>
          <w:b/>
          <w:bCs/>
          <w:i/>
          <w:iCs/>
          <w:color w:val="494949"/>
          <w:u w:val="single"/>
        </w:rPr>
        <w:t>Η συγκρότηση του κράτους στα γερμανικά φύλα</w:t>
      </w:r>
    </w:p>
    <w:p w14:paraId="439C0D07" w14:textId="77777777" w:rsidR="00797128" w:rsidRPr="00DD72AC" w:rsidRDefault="00797128" w:rsidP="00D961D4">
      <w:pPr>
        <w:pStyle w:val="Web"/>
        <w:shd w:val="clear" w:color="auto" w:fill="FFFFFF"/>
        <w:spacing w:before="0" w:beforeAutospacing="0" w:after="0" w:afterAutospacing="0"/>
        <w:ind w:firstLine="720"/>
        <w:jc w:val="both"/>
        <w:rPr>
          <w:color w:val="494949"/>
        </w:rPr>
      </w:pPr>
    </w:p>
    <w:p w14:paraId="3592891D" w14:textId="0796B5CA" w:rsidR="00085F8C" w:rsidRPr="00DD72AC" w:rsidRDefault="00085F8C" w:rsidP="00D961D4">
      <w:pPr>
        <w:pStyle w:val="Web"/>
        <w:shd w:val="clear" w:color="auto" w:fill="FFFFFF"/>
        <w:spacing w:before="0" w:beforeAutospacing="0" w:after="0" w:afterAutospacing="0"/>
        <w:ind w:firstLine="720"/>
        <w:jc w:val="both"/>
        <w:rPr>
          <w:rFonts w:ascii="Open Sans" w:hAnsi="Open Sans" w:cs="Open Sans"/>
          <w:color w:val="494949"/>
        </w:rPr>
      </w:pPr>
      <w:r w:rsidRPr="00DD72AC">
        <w:rPr>
          <w:color w:val="494949"/>
        </w:rPr>
        <w:t xml:space="preserve">Είναι αναμφισβήτητο ότι οι Γερμανοί ως τη μετανάστευση των λαών ήταν οργανωμένοι σε γένη. Φαίνεται ότι την περιοχή ανάμεσα στο Δούναβη, το Ρήνο, το Βιστούλα και τις βορινές θάλασσες την κατέκτησαν μόλις λίγους αιώνες πριν από τη χρονολογία μας. Τότε οι Κίμβροι και οι Τεύτονες μετανάστευαν ακόμα, ενώ οι </w:t>
      </w:r>
      <w:proofErr w:type="spellStart"/>
      <w:r w:rsidRPr="00DD72AC">
        <w:rPr>
          <w:color w:val="494949"/>
        </w:rPr>
        <w:t>Σουηβοί</w:t>
      </w:r>
      <w:proofErr w:type="spellEnd"/>
      <w:r w:rsidRPr="00DD72AC">
        <w:rPr>
          <w:color w:val="494949"/>
        </w:rPr>
        <w:t xml:space="preserve"> απέκτησαν σταθερό τόπο διαμονής μόλις τον καιρό του Καίσαρα. Ο Καίσαρας λέει ρητά γι’ αυτούς, ότι εγκαταστάθηκαν κατά γένη και συγγένειες (</w:t>
      </w:r>
      <w:proofErr w:type="spellStart"/>
      <w:r w:rsidRPr="00DD72AC">
        <w:rPr>
          <w:color w:val="494949"/>
        </w:rPr>
        <w:t>gentibus</w:t>
      </w:r>
      <w:proofErr w:type="spellEnd"/>
      <w:r w:rsidRPr="00DD72AC">
        <w:rPr>
          <w:color w:val="494949"/>
        </w:rPr>
        <w:t xml:space="preserve"> </w:t>
      </w:r>
      <w:proofErr w:type="spellStart"/>
      <w:r w:rsidRPr="00DD72AC">
        <w:rPr>
          <w:color w:val="494949"/>
        </w:rPr>
        <w:t>cognationibusque</w:t>
      </w:r>
      <w:proofErr w:type="spellEnd"/>
      <w:r w:rsidRPr="00DD72AC">
        <w:rPr>
          <w:color w:val="494949"/>
        </w:rPr>
        <w:t>), και στο στόμα ενός Ρωμαίου του γένους των Ιουλίων (</w:t>
      </w:r>
      <w:proofErr w:type="spellStart"/>
      <w:r w:rsidRPr="00DD72AC">
        <w:rPr>
          <w:color w:val="494949"/>
        </w:rPr>
        <w:t>gens</w:t>
      </w:r>
      <w:proofErr w:type="spellEnd"/>
      <w:r w:rsidRPr="00DD72AC">
        <w:rPr>
          <w:color w:val="494949"/>
        </w:rPr>
        <w:t xml:space="preserve"> </w:t>
      </w:r>
      <w:proofErr w:type="spellStart"/>
      <w:r w:rsidRPr="00DD72AC">
        <w:rPr>
          <w:color w:val="494949"/>
        </w:rPr>
        <w:t>Julia</w:t>
      </w:r>
      <w:proofErr w:type="spellEnd"/>
      <w:r w:rsidRPr="00DD72AC">
        <w:rPr>
          <w:color w:val="494949"/>
        </w:rPr>
        <w:t xml:space="preserve">) η λέξη </w:t>
      </w:r>
      <w:proofErr w:type="spellStart"/>
      <w:r w:rsidRPr="00DD72AC">
        <w:rPr>
          <w:color w:val="494949"/>
        </w:rPr>
        <w:t>gentibus</w:t>
      </w:r>
      <w:proofErr w:type="spellEnd"/>
      <w:r w:rsidRPr="00DD72AC">
        <w:rPr>
          <w:color w:val="494949"/>
        </w:rPr>
        <w:t xml:space="preserve"> έχει μια ορισμένη και αναμφισβήτητη σημασία.</w:t>
      </w:r>
    </w:p>
    <w:p w14:paraId="51A2FEF1" w14:textId="7CDB2E14" w:rsidR="00085F8C" w:rsidRPr="00DD72AC" w:rsidRDefault="00085F8C" w:rsidP="00420092">
      <w:pPr>
        <w:pStyle w:val="Web"/>
        <w:shd w:val="clear" w:color="auto" w:fill="FFFFFF"/>
        <w:spacing w:before="0" w:beforeAutospacing="0" w:after="0" w:afterAutospacing="0"/>
        <w:ind w:firstLine="720"/>
        <w:jc w:val="both"/>
        <w:rPr>
          <w:rFonts w:ascii="Open Sans" w:hAnsi="Open Sans" w:cs="Open Sans"/>
          <w:color w:val="494949"/>
        </w:rPr>
      </w:pPr>
      <w:r w:rsidRPr="00DD72AC">
        <w:rPr>
          <w:color w:val="494949"/>
        </w:rPr>
        <w:t xml:space="preserve">Αυτό ίσχυε για όλους τους Γερμανούς. Ακόμα και η εγκατάστασή τους στις κατακτημένες ρωμαϊκές επαρχίες φαίνεται να έγινε κατά γένη. Το </w:t>
      </w:r>
      <w:proofErr w:type="spellStart"/>
      <w:r w:rsidRPr="00DD72AC">
        <w:rPr>
          <w:color w:val="494949"/>
        </w:rPr>
        <w:t>αλαμανικό</w:t>
      </w:r>
      <w:proofErr w:type="spellEnd"/>
      <w:r w:rsidRPr="00DD72AC">
        <w:rPr>
          <w:color w:val="494949"/>
        </w:rPr>
        <w:t xml:space="preserve"> λαϊκό δίκαιο μας επιβεβαιώνει ότι ο λαός εγκαταστάθηκε κατά γένη (</w:t>
      </w:r>
      <w:proofErr w:type="spellStart"/>
      <w:r w:rsidRPr="00DD72AC">
        <w:rPr>
          <w:color w:val="494949"/>
        </w:rPr>
        <w:t>genealogiae</w:t>
      </w:r>
      <w:proofErr w:type="spellEnd"/>
      <w:r w:rsidRPr="00DD72AC">
        <w:rPr>
          <w:color w:val="494949"/>
        </w:rPr>
        <w:t xml:space="preserve">) στα κατακτημένα εδάφη νότια από το Δούναβη. Η λέξη </w:t>
      </w:r>
      <w:proofErr w:type="spellStart"/>
      <w:r w:rsidRPr="00DD72AC">
        <w:rPr>
          <w:color w:val="494949"/>
        </w:rPr>
        <w:t>genealogia</w:t>
      </w:r>
      <w:proofErr w:type="spellEnd"/>
      <w:r w:rsidRPr="00DD72AC">
        <w:rPr>
          <w:color w:val="494949"/>
        </w:rPr>
        <w:t xml:space="preserve"> χρησιμοποιείται ακριβώς με την ίδια έννοια όπως αργότερα η λέξη </w:t>
      </w:r>
      <w:proofErr w:type="spellStart"/>
      <w:r w:rsidRPr="00DD72AC">
        <w:rPr>
          <w:color w:val="494949"/>
        </w:rPr>
        <w:t>Mark</w:t>
      </w:r>
      <w:proofErr w:type="spellEnd"/>
      <w:r w:rsidRPr="00DD72AC">
        <w:rPr>
          <w:color w:val="494949"/>
        </w:rPr>
        <w:t xml:space="preserve"> ή αγροτική κοινότητα. </w:t>
      </w:r>
      <w:r w:rsidR="00A26B1B" w:rsidRPr="00DD72AC">
        <w:rPr>
          <w:color w:val="494949"/>
        </w:rPr>
        <w:t>(…)</w:t>
      </w:r>
    </w:p>
    <w:p w14:paraId="75E16A69" w14:textId="7F1A3AD6" w:rsidR="00783FFB" w:rsidRPr="00DD72AC" w:rsidRDefault="00783FFB" w:rsidP="005C4A7F">
      <w:pPr>
        <w:pStyle w:val="Web"/>
        <w:shd w:val="clear" w:color="auto" w:fill="FFFFFF"/>
        <w:spacing w:before="0" w:beforeAutospacing="0" w:after="0" w:afterAutospacing="0"/>
        <w:ind w:firstLine="720"/>
        <w:jc w:val="both"/>
        <w:rPr>
          <w:rFonts w:ascii="Open Sans" w:hAnsi="Open Sans" w:cs="Open Sans"/>
          <w:color w:val="494949"/>
        </w:rPr>
      </w:pPr>
      <w:r w:rsidRPr="00DD72AC">
        <w:rPr>
          <w:color w:val="494949"/>
        </w:rPr>
        <w:t>Όπως στους Μεξικανούς και στους Έλληνες, έτσι και στους Γερμανούς, η τάξη μάχης, τόσο η ίλη του ιππικού, όσο και η φάλαγγα του πεζικού ήταν διαρθρωμένη κατά σώματα γενών. Όταν ο Τάκιτος λέει: κατά οικογένειες και συγγενικές ομάδες</w:t>
      </w:r>
      <w:r w:rsidR="00B27846" w:rsidRPr="00DD72AC">
        <w:rPr>
          <w:color w:val="494949"/>
        </w:rPr>
        <w:t xml:space="preserve">, </w:t>
      </w:r>
      <w:r w:rsidRPr="00DD72AC">
        <w:rPr>
          <w:color w:val="494949"/>
        </w:rPr>
        <w:t>αυτή η ακαθόριστη έκφραση εξηγείται από το ότι στην εποχή του το γένος στη Ρώμη είχε από καιρό πάψει να είναι ζωντανή ένωση.</w:t>
      </w:r>
    </w:p>
    <w:p w14:paraId="000A3CEF" w14:textId="528AED7B" w:rsidR="00D16B8E" w:rsidRPr="00DD72AC" w:rsidRDefault="00D16B8E" w:rsidP="00E806F7">
      <w:pPr>
        <w:pStyle w:val="Web"/>
        <w:shd w:val="clear" w:color="auto" w:fill="FFFFFF"/>
        <w:spacing w:before="0" w:beforeAutospacing="0" w:after="0" w:afterAutospacing="0"/>
        <w:ind w:firstLine="720"/>
        <w:jc w:val="both"/>
        <w:rPr>
          <w:rFonts w:ascii="Open Sans" w:hAnsi="Open Sans" w:cs="Open Sans"/>
          <w:color w:val="494949"/>
        </w:rPr>
      </w:pPr>
      <w:r w:rsidRPr="00DD72AC">
        <w:rPr>
          <w:color w:val="494949"/>
        </w:rPr>
        <w:t>Αποφασιστική σημασία έχει ένα χωρίο του Τάκιτου, όπου αναφέρεται ότι ο αδερφός της μητέρας θεωρεί τον ανιψιό του σαν γιο του, μάλιστα μερικοί θεωρούν το δεσμό αίματος ανάμεσα σε θείο από μητέρα και ανιψιό ακόμα πιο ιερό και πιο στενό από το δεσμό ανάμεσα στον πατέρα και το γιο, έτσι που όταν ζητούν ομήρους, ο γιος της αδερφής θεωρείται μεγαλύτερη εγγύηση παρά ο γιος εκείνου που θέλουν να δεσμεύσουν. Εδώ έχουμε ένα ζωντανό υπόλειμμα από το οργανωμένο σύμφωνα με το μητρικό δίκαιο γένος, δηλαδή από το αρχικό γένος, και μάλιστα σαν κάτι που χαρακτηρίζει ιδιαίτερα τους Γερμανού</w:t>
      </w:r>
      <w:r w:rsidR="003F55ED" w:rsidRPr="00DD72AC">
        <w:rPr>
          <w:color w:val="494949"/>
        </w:rPr>
        <w:t>ς.</w:t>
      </w:r>
      <w:r w:rsidRPr="00DD72AC">
        <w:rPr>
          <w:color w:val="494949"/>
        </w:rPr>
        <w:t xml:space="preserve">  Αν κάποιο μέλος ενός τέτοιου γένους έδινε όμηρο το γιο του για μια υποχρέωση που αναλάμβανε, κι αν αυτός ο γιος έπεφτε θύμα, γιατί ο πατέρας του αθέτησε την υποχρέωσή του, τότε η υπόθεση αφορούσε μονάχα τον πατέρα του. Αν όμως το θύμα ήταν ο γιος της αδερφής του, τότε θιγόταν το πιο ιερό δίκαιο του γένους. Ο πλησιέστερος συγγενής εξ αίματος του αγοριού ή του έφηβου, που περισσότερο απ’ όλους τους άλλους ήταν υποχρεωμένος να τον υπερασπίσει, ήταν υπεύθυνος για το θάνατό του. Ή έπρεπε να μην το είχε δώσει όμηρο ή ήταν υποχρεωμένος να τηρήσει την υπόσχεσή του. Κι αν ακόμα δεν είχαμε άλλα ίχνη που να μας λένε ότι το σύστημα των γενών υπήρχε στους Γερμανούς, και μόνο αυτό το χωρίο θα ήταν αρκετό.</w:t>
      </w:r>
    </w:p>
    <w:p w14:paraId="2264149F" w14:textId="77777777" w:rsidR="002031E0" w:rsidRPr="00DD72AC" w:rsidRDefault="002031E0" w:rsidP="00E8313A">
      <w:pPr>
        <w:pStyle w:val="Web"/>
        <w:shd w:val="clear" w:color="auto" w:fill="FFFFFF"/>
        <w:spacing w:before="0" w:beforeAutospacing="0" w:after="0" w:afterAutospacing="0"/>
        <w:jc w:val="both"/>
        <w:rPr>
          <w:color w:val="494949"/>
        </w:rPr>
      </w:pPr>
    </w:p>
    <w:p w14:paraId="37DB79DC" w14:textId="1A6E1CF2" w:rsidR="002031E0" w:rsidRPr="00DD72AC" w:rsidRDefault="002031E0" w:rsidP="00E8313A">
      <w:pPr>
        <w:pStyle w:val="Web"/>
        <w:shd w:val="clear" w:color="auto" w:fill="FFFFFF"/>
        <w:spacing w:before="0" w:beforeAutospacing="0" w:after="0" w:afterAutospacing="0"/>
        <w:jc w:val="both"/>
        <w:rPr>
          <w:b/>
          <w:bCs/>
          <w:i/>
          <w:iCs/>
          <w:color w:val="494949"/>
        </w:rPr>
      </w:pPr>
      <w:r w:rsidRPr="00DD72AC">
        <w:rPr>
          <w:b/>
          <w:bCs/>
          <w:i/>
          <w:iCs/>
          <w:color w:val="494949"/>
        </w:rPr>
        <w:t>(Απόσπασμα από το «Λυκόφως των θεών»)</w:t>
      </w:r>
    </w:p>
    <w:p w14:paraId="11909576" w14:textId="5227B27A" w:rsidR="00D16B8E" w:rsidRPr="00DD72AC" w:rsidRDefault="00D16B8E" w:rsidP="002031E0">
      <w:pPr>
        <w:pStyle w:val="Web"/>
        <w:shd w:val="clear" w:color="auto" w:fill="FFFFFF"/>
        <w:spacing w:before="0" w:beforeAutospacing="0" w:after="0" w:afterAutospacing="0"/>
        <w:ind w:firstLine="720"/>
        <w:jc w:val="both"/>
        <w:rPr>
          <w:rFonts w:ascii="Open Sans" w:hAnsi="Open Sans" w:cs="Open Sans"/>
          <w:color w:val="494949"/>
        </w:rPr>
      </w:pPr>
      <w:r w:rsidRPr="00DD72AC">
        <w:rPr>
          <w:color w:val="494949"/>
        </w:rPr>
        <w:t xml:space="preserve">«Αδερφοί θα </w:t>
      </w:r>
      <w:proofErr w:type="spellStart"/>
      <w:r w:rsidRPr="00DD72AC">
        <w:rPr>
          <w:color w:val="494949"/>
        </w:rPr>
        <w:t>αλληλοπολεμούν</w:t>
      </w:r>
      <w:proofErr w:type="spellEnd"/>
      <w:r w:rsidRPr="00DD72AC">
        <w:rPr>
          <w:color w:val="494949"/>
        </w:rPr>
        <w:t xml:space="preserve"> και θα αλληλοσκοτώνονται, παιδιά αδερφάδων θα σπάνε τους δεσμούς της συγγένειας</w:t>
      </w:r>
      <w:r w:rsidR="002031E0" w:rsidRPr="00DD72AC">
        <w:rPr>
          <w:color w:val="494949"/>
        </w:rPr>
        <w:t>»</w:t>
      </w:r>
      <w:r w:rsidRPr="00DD72AC">
        <w:rPr>
          <w:color w:val="494949"/>
        </w:rPr>
        <w:t xml:space="preserve">. </w:t>
      </w:r>
      <w:proofErr w:type="spellStart"/>
      <w:r w:rsidRPr="00DD72AC">
        <w:rPr>
          <w:color w:val="494949"/>
        </w:rPr>
        <w:t>Systrungar</w:t>
      </w:r>
      <w:proofErr w:type="spellEnd"/>
      <w:r w:rsidRPr="00DD72AC">
        <w:rPr>
          <w:color w:val="494949"/>
        </w:rPr>
        <w:t xml:space="preserve"> λέγεται ο γιος της αδερφής της μητέρας, και το γεγονός ότι αυτά, παιδιά δυο αδερφάδων, θ’ αρνηθούν μεταξύ τους μια τέτοια συγγένεια αίματος, το θεωρεί ο ποιητής ακόμα πιο μεγάλο έγκλημα από την αδερφοκτονία. </w:t>
      </w:r>
      <w:r w:rsidR="002031E0" w:rsidRPr="00DD72AC">
        <w:rPr>
          <w:color w:val="494949"/>
        </w:rPr>
        <w:t>(…)</w:t>
      </w:r>
    </w:p>
    <w:p w14:paraId="656E4201" w14:textId="308F1706" w:rsidR="00320CB6" w:rsidRPr="00DD72AC" w:rsidRDefault="00320CB6" w:rsidP="002031E0">
      <w:pPr>
        <w:pStyle w:val="Web"/>
        <w:shd w:val="clear" w:color="auto" w:fill="FFFFFF"/>
        <w:spacing w:before="0" w:beforeAutospacing="0" w:after="0" w:afterAutospacing="0"/>
        <w:ind w:firstLine="720"/>
        <w:jc w:val="both"/>
        <w:rPr>
          <w:rFonts w:ascii="Open Sans" w:hAnsi="Open Sans" w:cs="Open Sans"/>
          <w:color w:val="494949"/>
        </w:rPr>
      </w:pPr>
      <w:r w:rsidRPr="00DD72AC">
        <w:rPr>
          <w:color w:val="494949"/>
        </w:rPr>
        <w:t xml:space="preserve">Κατά τ’ άλλα, τον καιρό του Τάκιτου, τουλάχιστον στους Γερμανούς που ήταν πιο γνωστοί του, το μητρικό δίκαιο είχε κιόλας κάνει τόπο στο πατρικό δίκαιο: τα παιδιά κληρονομούσαν τον πατέρα. Όπου δεν υπήρχαν παιδιά, κληρονομούσαν οι </w:t>
      </w:r>
      <w:r w:rsidRPr="00DD72AC">
        <w:rPr>
          <w:color w:val="494949"/>
        </w:rPr>
        <w:lastRenderedPageBreak/>
        <w:t xml:space="preserve">αδερφοί και οι θείοι από την πλευρά του πατέρα και της μητέρας. Το δικαίωμα του αδερφού της μητέρας στην κληρονομιά συνδέεται με τη διατήρηση του εθίμου που μόλις αναφέραμε και αποδείχνει επίσης πόσο νέο ήταν ακόμα τότε το πατρικό δίκαιο στους Γερμανούς. Ακόμα ως βαθιά στο μεσαίωνα βρίσκονταν ίχνη του μητρικού δικαίου. </w:t>
      </w:r>
      <w:r w:rsidR="005F108A" w:rsidRPr="00DD72AC">
        <w:rPr>
          <w:color w:val="494949"/>
        </w:rPr>
        <w:t>(…)</w:t>
      </w:r>
    </w:p>
    <w:p w14:paraId="51E7158D" w14:textId="765002A6" w:rsidR="00320CB6" w:rsidRPr="00DD72AC" w:rsidRDefault="00320CB6" w:rsidP="003B1EDD">
      <w:pPr>
        <w:pStyle w:val="Web"/>
        <w:shd w:val="clear" w:color="auto" w:fill="FFFFFF"/>
        <w:spacing w:before="0" w:beforeAutospacing="0" w:after="0" w:afterAutospacing="0"/>
        <w:ind w:firstLine="720"/>
        <w:jc w:val="both"/>
        <w:rPr>
          <w:rFonts w:ascii="Open Sans" w:hAnsi="Open Sans" w:cs="Open Sans"/>
          <w:color w:val="494949"/>
        </w:rPr>
      </w:pPr>
      <w:r w:rsidRPr="00DD72AC">
        <w:rPr>
          <w:color w:val="494949"/>
        </w:rPr>
        <w:t xml:space="preserve">Άλλο ένα υπόλειμμα από το μητρικό δίκαιο που μόλις τότε έσβηνε, είναι ο σχεδόν ακατανόητος για τους Ρωμαίους σεβασμός των Γερμανών προς το γυναικείο φύλο. Τα κορίτσια των αριστοκρατικών οικογενειών θεωρούνταν οι πιο σίγουροι όμηροι για την τήρηση των συμφωνιών με τους Γερμανούς. Η σκέψη ότι οι γυναίκες και οι κόρες τους θα μπορούσαν να πιαστούν αιχμάλωτες και να γίνουν σκλάβες, τους ήταν αφόρητη και κέντριζε περισσότερο από καθετί άλλο το θάρρος τους στη μάχη. </w:t>
      </w:r>
      <w:r w:rsidR="003B1EDD" w:rsidRPr="00DD72AC">
        <w:rPr>
          <w:color w:val="494949"/>
        </w:rPr>
        <w:t>(…)</w:t>
      </w:r>
    </w:p>
    <w:p w14:paraId="29329F5C" w14:textId="694B1CB5" w:rsidR="00320CB6" w:rsidRPr="00DD72AC" w:rsidRDefault="00320CB6" w:rsidP="003B1EDD">
      <w:pPr>
        <w:pStyle w:val="Web"/>
        <w:shd w:val="clear" w:color="auto" w:fill="FFFFFF"/>
        <w:spacing w:before="0" w:beforeAutospacing="0" w:after="0" w:afterAutospacing="0"/>
        <w:ind w:firstLine="720"/>
        <w:jc w:val="both"/>
        <w:rPr>
          <w:rFonts w:ascii="Open Sans" w:hAnsi="Open Sans" w:cs="Open Sans"/>
          <w:color w:val="494949"/>
        </w:rPr>
      </w:pPr>
      <w:r w:rsidRPr="00DD72AC">
        <w:rPr>
          <w:color w:val="494949"/>
        </w:rPr>
        <w:t>Στο σπίτι η κυριαρχία της γυναίκας μοιάζει αδιαφιλονίκητη. Φυσικά, η γυναίκα, οι γέροι και τα παιδιά έπρεπε να φροντίζουν για όλη τη δουλειά, ενώ ο άντρας πήγαινε κυνήγι, έπινε ή τεμπέλιαζε. Αυτά λέει ο Τάκιτος. Επειδή όμως δεν λέει ποιος καλλιεργούσε τα χωράφια και δηλώνει ρητά ότι οι δούλοι πρόσφεραν μόνο δοσίματα χωρίς να κάνουν όμως αγγαρείες, τότε είναι φανερό ότι οι ενήλικοι άντρες θα πρέπει να έκαναν τη λίγη δουλειά που απαιτούσε η καλλιέργεια της γης.</w:t>
      </w:r>
      <w:r w:rsidR="006C3C6B" w:rsidRPr="00DD72AC">
        <w:rPr>
          <w:color w:val="494949"/>
        </w:rPr>
        <w:t xml:space="preserve"> (…)</w:t>
      </w:r>
    </w:p>
    <w:p w14:paraId="4B9FA2B5" w14:textId="77777777" w:rsidR="00893D05" w:rsidRPr="00DD72AC" w:rsidRDefault="00893D05" w:rsidP="00036CEC">
      <w:pPr>
        <w:pStyle w:val="Web"/>
        <w:shd w:val="clear" w:color="auto" w:fill="FFFFFF"/>
        <w:spacing w:before="0" w:beforeAutospacing="0" w:after="0" w:afterAutospacing="0"/>
        <w:ind w:firstLine="720"/>
        <w:jc w:val="both"/>
        <w:rPr>
          <w:rFonts w:ascii="Open Sans" w:hAnsi="Open Sans" w:cs="Open Sans"/>
          <w:color w:val="494949"/>
        </w:rPr>
      </w:pPr>
      <w:r w:rsidRPr="00DD72AC">
        <w:rPr>
          <w:color w:val="494949"/>
        </w:rPr>
        <w:t>Από το καθεστώς των γενών προέρχεται η υποχρέωση να κληρονομούν τις εχθρότητες και τις φιλίες του πατέρα ή των συγγενών. Επίσης τη χρηματική αποζημίωση και την εξιλέωση, αντί της αιματηρής εκδίκησης σε περιπτώσεις φόνου ή τραυματισμού. Αυτή η εξαγορά, που πριν από μια γενιά ακόμα θεωρούνταν ειδικός γερμανικός θεσμός, έχει τώρα αποδειχτεί ότι υπάρχει σε εκατοντάδες λαούς σαν γενική, ηπιότερη μορφή της αιματηρής εκδίκησης που πήγαζε από το σύστημα των γενών. Τα βρίσκουμε, όπως και την υποχρέωση της φιλοξενίας, εκτός των άλλων και στους Ινδιάνους της Αμερικής. Η περιγραφή της φιλοξενίας από τον Τάκιτο (</w:t>
      </w:r>
      <w:proofErr w:type="spellStart"/>
      <w:r w:rsidRPr="00DD72AC">
        <w:rPr>
          <w:color w:val="494949"/>
        </w:rPr>
        <w:t>Germania</w:t>
      </w:r>
      <w:proofErr w:type="spellEnd"/>
      <w:r w:rsidRPr="00DD72AC">
        <w:rPr>
          <w:color w:val="494949"/>
        </w:rPr>
        <w:t>, c. 21) είναι σχεδόν ως τις λεπτομέρειές της η ίδια μ’ εκείνη που κάνει ο Μόργκαν για τους Ινδιάνους του.</w:t>
      </w:r>
    </w:p>
    <w:p w14:paraId="4631D23F" w14:textId="4FF39CCB" w:rsidR="00893D05" w:rsidRPr="00DD72AC" w:rsidRDefault="00893D05" w:rsidP="00685897">
      <w:pPr>
        <w:pStyle w:val="Web"/>
        <w:shd w:val="clear" w:color="auto" w:fill="FFFFFF"/>
        <w:spacing w:before="0" w:beforeAutospacing="0" w:after="0" w:afterAutospacing="0"/>
        <w:ind w:firstLine="720"/>
        <w:jc w:val="both"/>
        <w:rPr>
          <w:rFonts w:ascii="Open Sans" w:hAnsi="Open Sans" w:cs="Open Sans"/>
          <w:color w:val="494949"/>
        </w:rPr>
      </w:pPr>
      <w:r w:rsidRPr="00DD72AC">
        <w:rPr>
          <w:color w:val="494949"/>
        </w:rPr>
        <w:t xml:space="preserve">Η ζωηρότατη και ατελείωτη διαμάχη για το αν οι Γερμανοί του Τάκιτου είχαν κιόλας μοιράσει οριστικά τη γη ή όχι, και για το πώς πρέπει να ερμηνευτούν τα σχετικά χωρία, ανήκει τώρα στο παρελθόν. Από τότε που αποδείχτηκε σχεδόν για όλους τους λαούς ότι τα γένη και αργότερα οι κομμουνιστικές οικογενειακές κοινότητες καλλιεργούσαν από κοινού τα χωράφια, πράγμα που, όπως βεβαίωνε ο Καίσαρας, υπήρχε ακόμα στους </w:t>
      </w:r>
      <w:proofErr w:type="spellStart"/>
      <w:r w:rsidRPr="00DD72AC">
        <w:rPr>
          <w:color w:val="494949"/>
        </w:rPr>
        <w:t>Σουηβούς</w:t>
      </w:r>
      <w:proofErr w:type="spellEnd"/>
      <w:r w:rsidR="00257E7F" w:rsidRPr="00DD72AC">
        <w:rPr>
          <w:color w:val="494949"/>
        </w:rPr>
        <w:t xml:space="preserve"> </w:t>
      </w:r>
      <w:r w:rsidRPr="00DD72AC">
        <w:rPr>
          <w:color w:val="494949"/>
        </w:rPr>
        <w:t xml:space="preserve">και ότι το καθεστώς αυτό το διαδέχθηκε το μοίρασμα της γης σε ξεχωριστές οικογένειες με περιοδικό </w:t>
      </w:r>
      <w:proofErr w:type="spellStart"/>
      <w:r w:rsidRPr="00DD72AC">
        <w:rPr>
          <w:color w:val="494949"/>
        </w:rPr>
        <w:t>ξαναμοίρασμά</w:t>
      </w:r>
      <w:proofErr w:type="spellEnd"/>
      <w:r w:rsidRPr="00DD72AC">
        <w:rPr>
          <w:color w:val="494949"/>
        </w:rPr>
        <w:t xml:space="preserve"> της, ότι το περιοδικό αυτό </w:t>
      </w:r>
      <w:proofErr w:type="spellStart"/>
      <w:r w:rsidRPr="00DD72AC">
        <w:rPr>
          <w:color w:val="494949"/>
        </w:rPr>
        <w:t>ξαναμοίρασμα</w:t>
      </w:r>
      <w:proofErr w:type="spellEnd"/>
      <w:r w:rsidRPr="00DD72AC">
        <w:rPr>
          <w:color w:val="494949"/>
        </w:rPr>
        <w:t xml:space="preserve"> της καλλιεργήσιμης γης είχε διατηρηθεί στην ίδια τη Γερμανία πού και πού και ως τις μέρες μας, δεν αξίζει να μιλάμε γι’ αυτή τη διαμάχη.</w:t>
      </w:r>
    </w:p>
    <w:p w14:paraId="005B8239" w14:textId="5326A769" w:rsidR="00893D05" w:rsidRPr="00DD72AC" w:rsidRDefault="00893D05" w:rsidP="00257E7F">
      <w:pPr>
        <w:pStyle w:val="Web"/>
        <w:shd w:val="clear" w:color="auto" w:fill="FFFFFF"/>
        <w:spacing w:before="0" w:beforeAutospacing="0" w:after="0" w:afterAutospacing="0"/>
        <w:ind w:firstLine="720"/>
        <w:jc w:val="both"/>
        <w:rPr>
          <w:rFonts w:ascii="Open Sans" w:hAnsi="Open Sans" w:cs="Open Sans"/>
          <w:color w:val="494949"/>
        </w:rPr>
      </w:pPr>
      <w:r w:rsidRPr="00DD72AC">
        <w:rPr>
          <w:color w:val="494949"/>
        </w:rPr>
        <w:t xml:space="preserve">Αν οι Γερμανοί από την κοινή καλλιέργεια της γης, που ο Καίσαρας την αποδίδει ρητά στους </w:t>
      </w:r>
      <w:proofErr w:type="spellStart"/>
      <w:r w:rsidRPr="00DD72AC">
        <w:rPr>
          <w:color w:val="494949"/>
        </w:rPr>
        <w:t>Σουηβούς</w:t>
      </w:r>
      <w:proofErr w:type="spellEnd"/>
      <w:r w:rsidRPr="00DD72AC">
        <w:rPr>
          <w:color w:val="494949"/>
        </w:rPr>
        <w:t xml:space="preserve"> (μοιρασμένο ή ιδιωτικό χωράφι, λέει, δεν υπάρχει καθόλου σ’ αυτούς), πέρασαν μέσα σε 150 χρόνια, ως τον Τάκιτο, στην ατομική καλλιέργεια με </w:t>
      </w:r>
      <w:proofErr w:type="spellStart"/>
      <w:r w:rsidRPr="00DD72AC">
        <w:rPr>
          <w:color w:val="494949"/>
        </w:rPr>
        <w:t>ξαναμοίρασμα</w:t>
      </w:r>
      <w:proofErr w:type="spellEnd"/>
      <w:r w:rsidRPr="00DD72AC">
        <w:rPr>
          <w:color w:val="494949"/>
        </w:rPr>
        <w:t xml:space="preserve"> της γης κάθε χρόνο, αυτό πραγματικά αποτελεί αρκετή πρόοδο. Η μετάβαση από τη βαθμίδα εκείνη στην πλήρη ατομική ιδιοκτησία της γης, σ’ ένα τόσο σύντομο ενδιάμεσο χρονικό διάστημα και χωρίς καμιά ξένη ανάμειξη, είναι απλούστατα αδύνατο. Διαβάζω λοιπόν στον Τάκιτο μονάχα εκείνο που λέει με ξερά λόγια: Αλλάζουν (ή ξαναμοιράζουν) την καλλιεργημένη γη κάθε χρόνο, και πάλι περισσεύει αρκετή κοινή γη</w:t>
      </w:r>
      <w:r w:rsidR="00257E7F" w:rsidRPr="00DD72AC">
        <w:rPr>
          <w:color w:val="494949"/>
        </w:rPr>
        <w:t xml:space="preserve">. </w:t>
      </w:r>
      <w:r w:rsidRPr="00DD72AC">
        <w:rPr>
          <w:color w:val="494949"/>
        </w:rPr>
        <w:t>Είναι η βαθμίδα της γεωργίας και της ιδιοποίησης της γης που αντιστοιχεί ακριβώς στο τότε καθεστώς των γενών των Γερμανών.</w:t>
      </w:r>
      <w:r w:rsidR="00CD3F2E" w:rsidRPr="00DD72AC">
        <w:rPr>
          <w:color w:val="494949"/>
        </w:rPr>
        <w:t xml:space="preserve"> (…)</w:t>
      </w:r>
    </w:p>
    <w:p w14:paraId="5BD8763D" w14:textId="77777777" w:rsidR="00176E6A" w:rsidRPr="00DD72AC" w:rsidRDefault="00176E6A" w:rsidP="000432B2">
      <w:pPr>
        <w:pStyle w:val="Web"/>
        <w:shd w:val="clear" w:color="auto" w:fill="FFFFFF"/>
        <w:spacing w:before="0" w:beforeAutospacing="0" w:after="0" w:afterAutospacing="0"/>
        <w:ind w:firstLine="720"/>
        <w:jc w:val="both"/>
        <w:rPr>
          <w:rFonts w:ascii="Open Sans" w:hAnsi="Open Sans" w:cs="Open Sans"/>
          <w:color w:val="494949"/>
        </w:rPr>
      </w:pPr>
      <w:r w:rsidRPr="00DD72AC">
        <w:rPr>
          <w:color w:val="494949"/>
        </w:rPr>
        <w:t xml:space="preserve">Σύμφωνα μ’ αυτά, οι οικισμοί των Γερμανών στην περιοχή που κατέλαβαν τον καιρό των Ρωμαίων, καθώς και στην περιοχή που </w:t>
      </w:r>
      <w:proofErr w:type="spellStart"/>
      <w:r w:rsidRPr="00DD72AC">
        <w:rPr>
          <w:color w:val="494949"/>
        </w:rPr>
        <w:t>απόσπασαν</w:t>
      </w:r>
      <w:proofErr w:type="spellEnd"/>
      <w:r w:rsidRPr="00DD72AC">
        <w:rPr>
          <w:color w:val="494949"/>
        </w:rPr>
        <w:t xml:space="preserve"> αργότερα από τους Ρωμαίους, δεν αποτελούνταν από χωριά, αλλά από μεγάλες οικογενειακές συντροφιές, </w:t>
      </w:r>
      <w:r w:rsidRPr="00DD72AC">
        <w:rPr>
          <w:color w:val="494949"/>
        </w:rPr>
        <w:lastRenderedPageBreak/>
        <w:t>που αγκάλιαζαν περισσότερες γενιές, έπαιρναν και καλλιεργούσαν ένα αντίστοιχο κομμάτι γης και χρησιμοποιούσαν τη γύρω χέρσα γη από κοινού με τους γείτονες σαν κοινή μεθοριακή ζώνη. Το χωρίο του Τάκιτου για την αλλαγή της καλλιεργημένης γης θα έπρεπε λοιπόν πραγματικά να το καταλάβουμε με την αγρονομική έννοια: Η συντροφιά καλλιεργούσε κάθε χρόνο ένα άλλο κομμάτι γης και άφηνε χέρσα τα χωράφια της περασμένης χρονιάς ή τα εγκατέλειπε ολότελα. Επειδή ο πληθυσμός ήταν αραιός, έμενε πάλι αρκετή χέρσα γη, έτσι που έκανε περιττή κάθε διαμάχη για κατοχή γης.</w:t>
      </w:r>
    </w:p>
    <w:p w14:paraId="1A3CF208" w14:textId="77777777" w:rsidR="00176E6A" w:rsidRPr="00DD72AC" w:rsidRDefault="00176E6A" w:rsidP="000432B2">
      <w:pPr>
        <w:pStyle w:val="Web"/>
        <w:shd w:val="clear" w:color="auto" w:fill="FFFFFF"/>
        <w:spacing w:before="0" w:beforeAutospacing="0" w:after="0" w:afterAutospacing="0"/>
        <w:ind w:firstLine="720"/>
        <w:jc w:val="both"/>
        <w:rPr>
          <w:rFonts w:ascii="Open Sans" w:hAnsi="Open Sans" w:cs="Open Sans"/>
          <w:color w:val="494949"/>
        </w:rPr>
      </w:pPr>
      <w:r w:rsidRPr="00DD72AC">
        <w:rPr>
          <w:color w:val="494949"/>
        </w:rPr>
        <w:t>Μόνο ύστερα από αιώνες, όταν ο αριθμός των μελών της οικιακής συντροφιάς μεγάλωσε τόσο που να μην είναι πια δυνατή η κοινή οικονομία με τους τότε όρους παραγωγής, διαλύθηκαν τα κοινά νοικοκυριά. Οι αγροί και τα λιβάδια, που ως τότε ήταν κοινά, μοιράστηκαν με το γνωστό τρόπο ανάμεσα στα ατομικά νοικοκυριά που διαμορφώνονταν τώρα, αρχικά για ορισμένο χρόνο, αργότερα μια για πάντα, ενώ τα δάση, τα βοσκοτόπια και τα νερά έμειναν κοινά.</w:t>
      </w:r>
    </w:p>
    <w:p w14:paraId="5AD453A7" w14:textId="77777777" w:rsidR="004B3971" w:rsidRPr="00DD72AC" w:rsidRDefault="004B3971" w:rsidP="000432B2">
      <w:pPr>
        <w:pStyle w:val="Web"/>
        <w:shd w:val="clear" w:color="auto" w:fill="FFFFFF"/>
        <w:spacing w:before="0" w:beforeAutospacing="0" w:after="0" w:afterAutospacing="0"/>
        <w:ind w:firstLine="720"/>
        <w:jc w:val="both"/>
        <w:rPr>
          <w:rFonts w:ascii="Open Sans" w:hAnsi="Open Sans" w:cs="Open Sans"/>
          <w:color w:val="494949"/>
        </w:rPr>
      </w:pPr>
      <w:r w:rsidRPr="00DD72AC">
        <w:rPr>
          <w:color w:val="494949"/>
        </w:rPr>
        <w:t xml:space="preserve">Ενώ τον καιρό του Καίσαρα μόλις είχε εγκατασταθεί μόνιμα μόνο ένα μέρος των Γερμανών, ενώ ένα άλλο μέρος ζητούσε ακόμα να βρει οριστικούς τόπους διαμονής, τον καιρό του Τάκιτου οι Γερμανοί έχουν κιόλας έναν ολόκληρο αιώνα μόνιμης εγκατάστασης πίσω τους. Γι’ αυτό είναι αναμφισβήτητη η πρόοδος στην παραγωγή των μέσων συντήρησης. Κατοικούν σε ξύλινα σπίτια, το ντύσιμό τους είναι ακόμα πολύ πρωτόγονο, μοιάζει με το ντύσιμο ανθρώπων των δασών: </w:t>
      </w:r>
      <w:proofErr w:type="spellStart"/>
      <w:r w:rsidRPr="00DD72AC">
        <w:rPr>
          <w:color w:val="494949"/>
        </w:rPr>
        <w:t>χοντροϋφασμένος</w:t>
      </w:r>
      <w:proofErr w:type="spellEnd"/>
      <w:r w:rsidRPr="00DD72AC">
        <w:rPr>
          <w:color w:val="494949"/>
        </w:rPr>
        <w:t xml:space="preserve"> μάλλινος μανδύας, δέρματα ζώων, για τις γυναίκες και τους ευγενείς λινά εσώρουχα.</w:t>
      </w:r>
    </w:p>
    <w:p w14:paraId="1E9A0F27" w14:textId="01FFC46D" w:rsidR="004B3971" w:rsidRPr="00DD72AC" w:rsidRDefault="004B3971" w:rsidP="000432B2">
      <w:pPr>
        <w:pStyle w:val="Web"/>
        <w:shd w:val="clear" w:color="auto" w:fill="FFFFFF"/>
        <w:spacing w:before="0" w:beforeAutospacing="0" w:after="0" w:afterAutospacing="0"/>
        <w:ind w:firstLine="720"/>
        <w:jc w:val="both"/>
        <w:rPr>
          <w:rFonts w:ascii="Open Sans" w:hAnsi="Open Sans" w:cs="Open Sans"/>
          <w:color w:val="494949"/>
        </w:rPr>
      </w:pPr>
      <w:r w:rsidRPr="00DD72AC">
        <w:rPr>
          <w:color w:val="494949"/>
        </w:rPr>
        <w:t xml:space="preserve">Η τροφή τους αποτελείται από γάλα, κρέας, άγριους καρπούς και, όπως προσθέτει ο Πλίνιος, από χυλό βρόμης) (που και σήμερα ακόμα είναι κελτικό εθνικό φαγητό στην Ιρλανδία και τη Σκοτία). Ο πλούτος τους αποτελείται από ζώα, που είναι όμως κατώτερης ράτσας, τα βόδια είναι μικρά, ασήμαντα, χωρίς κέρατα, Τα άλογα ήταν μικρά και βραδυκίνητα </w:t>
      </w:r>
      <w:proofErr w:type="spellStart"/>
      <w:r w:rsidRPr="00DD72AC">
        <w:rPr>
          <w:color w:val="494949"/>
        </w:rPr>
        <w:t>πόνεϊ</w:t>
      </w:r>
      <w:proofErr w:type="spellEnd"/>
      <w:r w:rsidRPr="00DD72AC">
        <w:rPr>
          <w:color w:val="494949"/>
        </w:rPr>
        <w:t>. Το χρήμα το χρησιμοποιούσαν σπάνια και πολύ λίγο και ήταν μονάχα ρωμαϊκό. Το χρυσάφι και το ασήμι δεν τα κατεργάζονταν και δεν τα λογάριαζαν, το σίδερο ήταν σπάνιο και φαίνεται, τουλάχιστον για τις φυλές της περιοχής του Ρήνου και του Δούναβη, ότι δεν το παρήγαγαν μόνοι τους, αλλά το εισήγαγαν σχεδόν όλο απέξω.</w:t>
      </w:r>
    </w:p>
    <w:p w14:paraId="17440AB6" w14:textId="77777777" w:rsidR="004B3971" w:rsidRPr="00DD72AC" w:rsidRDefault="004B3971" w:rsidP="000432B2">
      <w:pPr>
        <w:pStyle w:val="Web"/>
        <w:shd w:val="clear" w:color="auto" w:fill="FFFFFF"/>
        <w:spacing w:before="0" w:beforeAutospacing="0" w:after="0" w:afterAutospacing="0"/>
        <w:ind w:firstLine="720"/>
        <w:jc w:val="both"/>
        <w:rPr>
          <w:rFonts w:ascii="Open Sans" w:hAnsi="Open Sans" w:cs="Open Sans"/>
          <w:color w:val="494949"/>
        </w:rPr>
      </w:pPr>
      <w:r w:rsidRPr="00DD72AC">
        <w:rPr>
          <w:color w:val="494949"/>
        </w:rPr>
        <w:t>Η ρουνική γραφή (απομίμηση ελληνικών ή λατινικών γραμμάτων) ήταν γνωστή μόνο σαν μυστική γραφή και τη χρησιμοποιούσαν μονάχα για θρησκευτική μαγεία. Συνηθιζόταν ακόμα η ανθρωποθυσία. Κοντολογίς, έχουμε εδώ μπροστά μας ένα λαό που μόλις υψώθηκε από τη μέση βαθμίδα της βαρβαρότητας στην ανώτερη. Ενώ όμως οι φυλές που συνόρευαν άμεσα με τους Ρωμαίους, εξαιτίας της εύκολης εισαγωγής ρωμαϊκών βιομηχανικών προϊόντων, εμποδίζονταν στην ανάπτυξη μιας ανεξάρτητης μεταλλουργικής και υφαντουργικής βιομηχανίας, τέτοιου είδους βιομηχανία αναπτύχθηκε αναμφισβήτητα στα βορειοανατολικά, στα παράλια της Βαλτικής.</w:t>
      </w:r>
    </w:p>
    <w:p w14:paraId="285B9CCB" w14:textId="6490DDEC" w:rsidR="004B3971" w:rsidRPr="00DD72AC" w:rsidRDefault="004B3971" w:rsidP="000432B2">
      <w:pPr>
        <w:pStyle w:val="Web"/>
        <w:shd w:val="clear" w:color="auto" w:fill="FFFFFF"/>
        <w:spacing w:before="0" w:beforeAutospacing="0" w:after="0" w:afterAutospacing="0"/>
        <w:ind w:firstLine="720"/>
        <w:jc w:val="both"/>
        <w:rPr>
          <w:rFonts w:ascii="Open Sans" w:hAnsi="Open Sans" w:cs="Open Sans"/>
          <w:color w:val="494949"/>
        </w:rPr>
      </w:pPr>
      <w:r w:rsidRPr="00DD72AC">
        <w:rPr>
          <w:color w:val="494949"/>
        </w:rPr>
        <w:t xml:space="preserve"> Τα διάφορα όπλα που βρέθηκαν στα έλη του </w:t>
      </w:r>
      <w:proofErr w:type="spellStart"/>
      <w:r w:rsidRPr="00DD72AC">
        <w:rPr>
          <w:color w:val="494949"/>
        </w:rPr>
        <w:t>Σλέσβιγκ</w:t>
      </w:r>
      <w:proofErr w:type="spellEnd"/>
      <w:r w:rsidRPr="00DD72AC">
        <w:rPr>
          <w:color w:val="494949"/>
        </w:rPr>
        <w:t xml:space="preserve"> -μακρύ σιδερένιο ξίφος, αλυσωτός θώρακας, ασημένιο κράνος κ.λπ.-μαζί με ρωμαϊκά νομίσματα του τέλους του δεύτερου αιώνα και τα γερμανικά μετάλλινα είδη που διαδόθηκαν με τις μεταναστεύσεις των λαών, είναι προϊόντα αρκετά αναπτυγμένης και ιδιόμορφης τέχνης, κι όταν ακόμα πρόκειται για περιπτώσεις απομίμησης ρωμαϊκών πρωτοτύπων. Με τη μετανάστευση στην πολιτισμένη ρωμαϊκή αυτοκρατορία σταμάτησε παντού, εκτός από την Αγγλία, αυτή η παραγωγή των γερμανικών φυλών. Πόσο ομοιόμορφα είχε γεννηθεί και αναπτυχθεί παραπέρα αυτή η παραγωγή, το δείχνουν, λόγου χάρη, οι χάλκινες πόρπες. Όσες βρέθηκαν στη Βουργουνδία, στη Ρουμανία και στην </w:t>
      </w:r>
      <w:proofErr w:type="spellStart"/>
      <w:r w:rsidRPr="00DD72AC">
        <w:rPr>
          <w:color w:val="494949"/>
        </w:rPr>
        <w:t>Αζοφική</w:t>
      </w:r>
      <w:proofErr w:type="spellEnd"/>
      <w:r w:rsidRPr="00DD72AC">
        <w:rPr>
          <w:color w:val="494949"/>
        </w:rPr>
        <w:t xml:space="preserve"> </w:t>
      </w:r>
      <w:r w:rsidRPr="00DD72AC">
        <w:rPr>
          <w:color w:val="494949"/>
        </w:rPr>
        <w:lastRenderedPageBreak/>
        <w:t>Θάλασσα θα μπορούσαν να έχουν βγει από το ίδιο εργαστήρι με τις αγγλικές και τις σουηδικές και είναι εξίσου αναμφισβήτητα γερμανικής προέλευσης.</w:t>
      </w:r>
    </w:p>
    <w:p w14:paraId="221E6139" w14:textId="0B24F320" w:rsidR="005C7513" w:rsidRPr="00DD72AC" w:rsidRDefault="005C7513" w:rsidP="000432B2">
      <w:pPr>
        <w:pStyle w:val="Web"/>
        <w:shd w:val="clear" w:color="auto" w:fill="FFFFFF"/>
        <w:spacing w:before="0" w:beforeAutospacing="0" w:after="0" w:afterAutospacing="0"/>
        <w:ind w:firstLine="720"/>
        <w:jc w:val="both"/>
        <w:rPr>
          <w:rFonts w:ascii="Open Sans" w:hAnsi="Open Sans" w:cs="Open Sans"/>
          <w:color w:val="494949"/>
        </w:rPr>
      </w:pPr>
      <w:r w:rsidRPr="00DD72AC">
        <w:rPr>
          <w:color w:val="494949"/>
        </w:rPr>
        <w:t>Στην ανώτερη βαθμίδα της βαρβαρότητας αντιστοιχεί και η οργάνωση της διοίκησης. Γενικά, κατά τον Τάκιτο, υπήρχε το συμβούλιο των αρχηγών (</w:t>
      </w:r>
      <w:proofErr w:type="spellStart"/>
      <w:r w:rsidRPr="00DD72AC">
        <w:rPr>
          <w:color w:val="494949"/>
        </w:rPr>
        <w:t>principes</w:t>
      </w:r>
      <w:proofErr w:type="spellEnd"/>
      <w:r w:rsidRPr="00DD72AC">
        <w:rPr>
          <w:color w:val="494949"/>
        </w:rPr>
        <w:t>) που αποφάσιζε για μικρότερα ζητήματα, προετοίμαζε όμως τα σπουδαιότερα για να αποφασίσει γι’ αυτά η λαϊκή συνέλευση. Αυτή η συνέλευση, στην κατώτερη βαθμίδα της βαρβαρότητας, τουλάχιστον εκεί όπου την ξέρουμε, στους Αμερικανούς, υπήρχε πρώτα μονάχα για το γένος, όχι ακόμα για τη φυλή ή την ομοσπονδία φυλών. Οι αρχηγοί (</w:t>
      </w:r>
      <w:proofErr w:type="spellStart"/>
      <w:r w:rsidRPr="00DD72AC">
        <w:rPr>
          <w:color w:val="494949"/>
        </w:rPr>
        <w:t>principes</w:t>
      </w:r>
      <w:proofErr w:type="spellEnd"/>
      <w:r w:rsidRPr="00DD72AC">
        <w:rPr>
          <w:color w:val="494949"/>
        </w:rPr>
        <w:t>) ξεχωρίζουν ακόμα έντονα από τους πολέμαρχους (</w:t>
      </w:r>
      <w:proofErr w:type="spellStart"/>
      <w:r w:rsidRPr="00DD72AC">
        <w:rPr>
          <w:color w:val="494949"/>
        </w:rPr>
        <w:t>duces</w:t>
      </w:r>
      <w:proofErr w:type="spellEnd"/>
      <w:r w:rsidRPr="00DD72AC">
        <w:rPr>
          <w:color w:val="494949"/>
        </w:rPr>
        <w:t xml:space="preserve">), ακριβώς όπως στους </w:t>
      </w:r>
      <w:proofErr w:type="spellStart"/>
      <w:r w:rsidRPr="00DD72AC">
        <w:rPr>
          <w:color w:val="494949"/>
        </w:rPr>
        <w:t>Ιροκέζους</w:t>
      </w:r>
      <w:proofErr w:type="spellEnd"/>
      <w:r w:rsidRPr="00DD72AC">
        <w:rPr>
          <w:color w:val="494949"/>
        </w:rPr>
        <w:t>. Οι πρώτοι ζουν κιόλας εν μέρει από τιμητικά δώρα σε ζώα, σιτηρά κ.λπ., που προσφέρουν τα μέλη της φυλής. Εκλέγονται κυρίως, όπως στην Αμερική, από την ίδια οικογένεια. Η μετάβαση στο πατρικό δίκαιο ευκολύνει, όπως στην Ελλάδα και τη Ρώμη, τη βαθμιαία αλλαγή από την εκλογή στην κληρονομική διαδοχή και έτσι διαμορφώνεται μια αριστοκρατική οικογένεια σε κάθε γένος. Τις περισσότερες φορές, αυτοί οι παλιοί, οι λεγόμενοι ευγενείς του γένους, χάθηκαν στη μετανάστευση των λαών ή αμέσως ύστερα απ’ αυτήν. Οι στρατιωτικοί διοικητές εκλέγονταν χωρίς να παίρνεται υπόψη η καταγωγή, μονάχα ανάλογα με τις ικανότητές τους. Είχαν λίγη εξουσία και έπρεπε να επηρεάζουν με το παράδειγμά τους. Την καθαυτό πειθαρχική εξουσία στο στρατό ο Τάκιτος την αποδίδει ρητά στους ιερείς. Η πραγματική εξουσία βρισκόταν στη συνέλευση του λαού. Ο βασιλιάς, ή αρχηγός της φυλής, προεδρεύει. Ο λαός αποφασίζει: όχι</w:t>
      </w:r>
      <w:r w:rsidR="000432B2" w:rsidRPr="00DD72AC">
        <w:rPr>
          <w:color w:val="494949"/>
        </w:rPr>
        <w:t>,</w:t>
      </w:r>
      <w:r w:rsidRPr="00DD72AC">
        <w:rPr>
          <w:color w:val="494949"/>
        </w:rPr>
        <w:t xml:space="preserve"> με ένα μουρμουρητό, ναι</w:t>
      </w:r>
      <w:r w:rsidR="000432B2" w:rsidRPr="00DD72AC">
        <w:rPr>
          <w:color w:val="494949"/>
        </w:rPr>
        <w:t>,</w:t>
      </w:r>
      <w:r w:rsidRPr="00DD72AC">
        <w:rPr>
          <w:color w:val="494949"/>
        </w:rPr>
        <w:t xml:space="preserve"> με επευφημίες και κλαγγή των όπλων. Η συνέλευση είναι ταυτόχρονα και δικαστήριο. Εδώ παραπέμπονται οι κατηγορίες και εκδικάζονται, εδώ αποφασίζονται οι θανατικές καταδίκες. Με θανατική ποινή τιμωρείται μόνο η δειλία, η προδοσία του λαού και η παρά φύση ασέλγεια. Και στα γένη και στις άλλες υποδιαιρέσεις δικάζει το σύνολο με πρόεδρο τον αρχηγό που, όπως σε κάθε γερμανικό πρωτόγονο δικαστήριο, μπορεί μονάχα να διευθύνει τη διαδικασία και να βάζει ερωτήσεις. Την απόφαση στους Γερμανούς έπαιρνε ανέκαθεν και παντού το σύνολο.</w:t>
      </w:r>
    </w:p>
    <w:p w14:paraId="02847FFB" w14:textId="593B429B" w:rsidR="005C7513" w:rsidRPr="00DD72AC" w:rsidRDefault="005C7513" w:rsidP="000432B2">
      <w:pPr>
        <w:pStyle w:val="Web"/>
        <w:shd w:val="clear" w:color="auto" w:fill="FFFFFF"/>
        <w:spacing w:before="0" w:beforeAutospacing="0" w:after="0" w:afterAutospacing="0"/>
        <w:ind w:firstLine="720"/>
        <w:jc w:val="both"/>
        <w:rPr>
          <w:rFonts w:ascii="Open Sans" w:hAnsi="Open Sans" w:cs="Open Sans"/>
          <w:color w:val="494949"/>
        </w:rPr>
      </w:pPr>
      <w:r w:rsidRPr="00DD72AC">
        <w:rPr>
          <w:color w:val="494949"/>
        </w:rPr>
        <w:t>Ομοσπονδίες φυλών είχαν διαμορφωθεί από τον καιρό του Καίσαρα. Σε μερικές απ’ αυτές υπήρχαν κιόλας βασιλείς. Όπως στους Έλληνες και τους Ρωμαίους, ο ανώτατος αρχηγός του στρατού έτεινε κιόλας προς την τυραννίδα και κάποτε κατάφερνε να φτάσει ως αυτήν. Τέτοιοι τυχεροί σφετεριστές της εξουσίας δεν ήταν σε καμιά περίπτωση απεριόριστοι κυρίαρχοι, άρχιζαν ωστόσο να σπάζουν τα δεσμά του καθεστώτος των γενών. Ενώ άλλοτε οι απελεύθεροι δούλοι είχαν δευτερεύουσα θέση, γιατί δεν μπορούσαν ν’ ανήκουν σε κανένα γένος, με τους νέους βασιλείς οι ευνοούμενοι αυτοί αποκτούσαν συχνά βαθμούς, πλούτη και τιμές. Ύστερα από την κατάκτηση της ρωμαϊκής αυτοκρατορίας, έγινε το ίδιο με τους στρατιωτικούς αρχηγούς που είχαν γίνει τώρα βασιλείς μεγάλων χωρών. Στους Φράγκους οι δούλοι και οι απελεύθεροι του βασιλιά έπαιζαν σπουδαίο ρόλο, πρώτα στην αυλή και έπειτα στο κράτος. Οι νέοι ευγενείς κατά μεγάλο μέρος κατάγονταν απ’ αυτούς.</w:t>
      </w:r>
    </w:p>
    <w:p w14:paraId="302E8378" w14:textId="636EE3ED" w:rsidR="005C7513" w:rsidRPr="00DD72AC" w:rsidRDefault="005C7513" w:rsidP="002B45E6">
      <w:pPr>
        <w:pStyle w:val="Web"/>
        <w:shd w:val="clear" w:color="auto" w:fill="FFFFFF"/>
        <w:spacing w:before="0" w:beforeAutospacing="0" w:after="0" w:afterAutospacing="0"/>
        <w:ind w:firstLine="720"/>
        <w:jc w:val="both"/>
        <w:rPr>
          <w:rFonts w:ascii="Open Sans" w:hAnsi="Open Sans" w:cs="Open Sans"/>
          <w:color w:val="494949"/>
        </w:rPr>
      </w:pPr>
      <w:r w:rsidRPr="00DD72AC">
        <w:rPr>
          <w:color w:val="494949"/>
        </w:rPr>
        <w:t xml:space="preserve">Ένας θεσμός που ευνόησε την εμφάνιση της βασιλείας ήταν οι ακολουθίες. Ήδη στους </w:t>
      </w:r>
      <w:proofErr w:type="spellStart"/>
      <w:r w:rsidRPr="00DD72AC">
        <w:rPr>
          <w:color w:val="494949"/>
        </w:rPr>
        <w:t>αμερικανούς</w:t>
      </w:r>
      <w:proofErr w:type="spellEnd"/>
      <w:r w:rsidRPr="00DD72AC">
        <w:rPr>
          <w:color w:val="494949"/>
        </w:rPr>
        <w:t xml:space="preserve"> ερυθρόδερμους είδαμε πως πλάι στην οργάνωση του γένους σχηματίζονται ιδιωτικές εταιρίες για τη διεξαγωγή πολέμου με δική τους πρωτοβουλία και ευθύνη. Στους Γερμανούς αυτές οι ιδιωτικές εταιρίες είχαν γίνει κιόλας μόνιμες ενώσεις. Ο πολέμαρχος, που είχε αποκτήσει φήμη, συγκέντρωνε γύρω του μια ομάδα από νεαρούς που διψούσαν για λάφυρα και που συνδέονταν μαζί του με αμοιβαία προσωπική πίστη. Ο αρχηγός τους συντηρούσε και τους έδινε δώρα, τους οργάνωνε ιεραρχικά.</w:t>
      </w:r>
    </w:p>
    <w:p w14:paraId="18D06AE4" w14:textId="138EA030" w:rsidR="002E35B5" w:rsidRPr="00DD72AC" w:rsidRDefault="002E35B5" w:rsidP="002B45E6">
      <w:pPr>
        <w:pStyle w:val="Web"/>
        <w:shd w:val="clear" w:color="auto" w:fill="FFFFFF"/>
        <w:spacing w:before="0" w:beforeAutospacing="0" w:after="0" w:afterAutospacing="0"/>
        <w:ind w:firstLine="720"/>
        <w:jc w:val="both"/>
        <w:rPr>
          <w:rFonts w:ascii="Open Sans" w:hAnsi="Open Sans" w:cs="Open Sans"/>
          <w:color w:val="494949"/>
        </w:rPr>
      </w:pPr>
      <w:r w:rsidRPr="00DD72AC">
        <w:rPr>
          <w:color w:val="494949"/>
        </w:rPr>
        <w:t xml:space="preserve">Για τις μικρότερες εκστρατείες χρησίμευε μια ετοιμοπόλεμη σωματοφυλακή, για τις μεγαλύτερες υπήρχε ένα έτοιμο σώμα αξιωματικών. Όσο κι αν ήταν αδύνατες </w:t>
      </w:r>
      <w:r w:rsidRPr="00DD72AC">
        <w:rPr>
          <w:color w:val="494949"/>
        </w:rPr>
        <w:lastRenderedPageBreak/>
        <w:t xml:space="preserve">αυτές οι ακολουθίες, κι όσο αδύνατες κι αν παρουσιάζονται, για παράδειγμα αργότερα τον καιρό του </w:t>
      </w:r>
      <w:proofErr w:type="spellStart"/>
      <w:r w:rsidRPr="00DD72AC">
        <w:rPr>
          <w:color w:val="494949"/>
        </w:rPr>
        <w:t>Οδόακρου</w:t>
      </w:r>
      <w:proofErr w:type="spellEnd"/>
      <w:r w:rsidRPr="00DD72AC">
        <w:rPr>
          <w:color w:val="494949"/>
        </w:rPr>
        <w:t xml:space="preserve"> στην Ιταλία, αποτέλεσαν ωστόσο την απαρχή της παρακμής της παλιάς λαϊκής ελευθερίας και τέτοιο ρόλο έπαιξαν στη διάρκεια της μετανάστευσης των λαών και ύστερα απ’ αυτήν. Πρώτα, γιατί ευνόησαν την εμφάνιση της βασιλικής εξουσίας. Δεύτερο, γιατί, όπως αναφέρει ο Τάκιτος, μπορούσαν να διατηρηθούν μόνο με αδιάκοπους πολέμους και ληστρικές εκστρατείες. Η ληστεία έγινε σκοπός. Όταν ο αρχηγός της ακολουθίας δεν είχε </w:t>
      </w:r>
      <w:r w:rsidR="002B45E6" w:rsidRPr="00DD72AC">
        <w:rPr>
          <w:color w:val="494949"/>
        </w:rPr>
        <w:t xml:space="preserve">κάτι </w:t>
      </w:r>
      <w:r w:rsidRPr="00DD72AC">
        <w:rPr>
          <w:color w:val="494949"/>
        </w:rPr>
        <w:t>να κάνει εκεί κοντά, τραβούσε με τους άντρες του σε άλλους λαούς, όπου γινόταν πόλεμος και υπήρχε προοπτική για πλιάτσικο. Τα βοηθητικά στρατεύματα που αποτελούνταν από γερμανικές φυλές και που κατά μεγάλες μάζες πολεμούσαν κάτω από τη ρωμαϊκή σημαία, ακόμα και ενάντια σε Γερμανούς, είχαν συγκροτηθεί ως ένα βαθμό από τέτοιες ακολουθίες.</w:t>
      </w:r>
    </w:p>
    <w:p w14:paraId="0EA166AD" w14:textId="77777777" w:rsidR="002E35B5" w:rsidRPr="00DD72AC" w:rsidRDefault="002E35B5" w:rsidP="0085436E">
      <w:pPr>
        <w:pStyle w:val="Web"/>
        <w:shd w:val="clear" w:color="auto" w:fill="FFFFFF"/>
        <w:spacing w:before="0" w:beforeAutospacing="0" w:after="0" w:afterAutospacing="0"/>
        <w:ind w:firstLine="720"/>
        <w:jc w:val="both"/>
        <w:rPr>
          <w:rFonts w:ascii="Open Sans" w:hAnsi="Open Sans" w:cs="Open Sans"/>
          <w:color w:val="494949"/>
        </w:rPr>
      </w:pPr>
      <w:r w:rsidRPr="00DD72AC">
        <w:rPr>
          <w:color w:val="494949"/>
        </w:rPr>
        <w:t xml:space="preserve">Το καθεστώς  των μισθοφόρων, αυτό το αίσχος και η κατάρα των Γερμανών, υπήρχε εδώ κιόλας στην πρώτη μορφή του. Ύστερα από την κατάκτηση της ρωμαϊκής αυτοκρατορίας, οι ακόλουθοι αυτοί των βασιλιάδων, μαζί με τους μη ελεύθερους και τους </w:t>
      </w:r>
      <w:proofErr w:type="spellStart"/>
      <w:r w:rsidRPr="00DD72AC">
        <w:rPr>
          <w:color w:val="494949"/>
        </w:rPr>
        <w:t>ρωμαίους</w:t>
      </w:r>
      <w:proofErr w:type="spellEnd"/>
      <w:r w:rsidRPr="00DD72AC">
        <w:rPr>
          <w:color w:val="494949"/>
        </w:rPr>
        <w:t xml:space="preserve"> αυλικούς υπηρέτες, αποτέλεσαν το δεύτερο βασικό συστατικό στοιχείο των κατοπινών ευγενών.</w:t>
      </w:r>
    </w:p>
    <w:p w14:paraId="60ECB703" w14:textId="2B3C7912" w:rsidR="002E35B5" w:rsidRPr="00DD72AC" w:rsidRDefault="002E35B5" w:rsidP="00F82540">
      <w:pPr>
        <w:pStyle w:val="Web"/>
        <w:shd w:val="clear" w:color="auto" w:fill="FFFFFF"/>
        <w:spacing w:before="0" w:beforeAutospacing="0" w:after="0" w:afterAutospacing="0"/>
        <w:ind w:firstLine="720"/>
        <w:jc w:val="both"/>
        <w:rPr>
          <w:rFonts w:ascii="Open Sans" w:hAnsi="Open Sans" w:cs="Open Sans"/>
          <w:color w:val="494949"/>
        </w:rPr>
      </w:pPr>
      <w:r w:rsidRPr="00DD72AC">
        <w:rPr>
          <w:color w:val="494949"/>
        </w:rPr>
        <w:t>Γενικά, λοιπόν, στις γερμανικές φυλές που ενώθηκαν σε λαούς, επικρατεί η ίδια συγκρότηση που είχε αναπτυχθεί στους Έλληνες της ηρωικής εποχής και στους Ρωμαίους της λεγόμενης εποχής των βασιλιάδων: λαϊκή συνέλευση, συμβούλιο των αρχηγών των γενών και πολέμαρχος που τείνει κιόλας προς μια πραγματική βασιλική εξουσία. Ήταν η πιο διαμορφωμένη διοικητική οργάνωση που μπορούσε γενικά να αναπτύξει το καθεστώς των γενών. Ήταν το υποδειγματικό καθεστώς της ανώτερης βαθμίδας της βαρβαρότητας. Μόλις η κοινωνία βγήκε έξω από τα όρια μέσα στα οποία αρκούσε αυτή η οργάνωση, άρχισε να σβήνει το καθεστώς των γενών. Διαλύθηκε και στη θέση του μπήκε το κράτος.</w:t>
      </w:r>
    </w:p>
    <w:p w14:paraId="7435E8D2" w14:textId="77777777" w:rsidR="002E35B5" w:rsidRPr="00DD72AC" w:rsidRDefault="002E35B5" w:rsidP="00E8313A">
      <w:pPr>
        <w:pStyle w:val="Web"/>
        <w:shd w:val="clear" w:color="auto" w:fill="FFFFFF"/>
        <w:spacing w:before="0" w:beforeAutospacing="0" w:after="0" w:afterAutospacing="0"/>
        <w:rPr>
          <w:rFonts w:ascii="Open Sans" w:hAnsi="Open Sans" w:cs="Open Sans"/>
          <w:color w:val="494949"/>
        </w:rPr>
      </w:pPr>
      <w:r w:rsidRPr="00DD72AC">
        <w:rPr>
          <w:rFonts w:ascii="Open Sans" w:hAnsi="Open Sans" w:cs="Open Sans"/>
          <w:color w:val="494949"/>
        </w:rPr>
        <w:t> </w:t>
      </w:r>
    </w:p>
    <w:p w14:paraId="3C1B4005" w14:textId="77777777" w:rsidR="003710B7" w:rsidRPr="00DD72AC" w:rsidRDefault="003710B7" w:rsidP="00E8313A">
      <w:pPr>
        <w:spacing w:after="0"/>
        <w:rPr>
          <w:sz w:val="24"/>
          <w:szCs w:val="24"/>
        </w:rPr>
      </w:pPr>
    </w:p>
    <w:sectPr w:rsidR="003710B7" w:rsidRPr="00DD72A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99F"/>
    <w:rsid w:val="00002DE8"/>
    <w:rsid w:val="00036CEC"/>
    <w:rsid w:val="000432B2"/>
    <w:rsid w:val="00085F8C"/>
    <w:rsid w:val="00176E6A"/>
    <w:rsid w:val="001C399F"/>
    <w:rsid w:val="002031E0"/>
    <w:rsid w:val="00257E7F"/>
    <w:rsid w:val="002B45E6"/>
    <w:rsid w:val="002E35B5"/>
    <w:rsid w:val="00320CB6"/>
    <w:rsid w:val="003710B7"/>
    <w:rsid w:val="003B1EDD"/>
    <w:rsid w:val="003E531B"/>
    <w:rsid w:val="003F55ED"/>
    <w:rsid w:val="00420092"/>
    <w:rsid w:val="00460A6C"/>
    <w:rsid w:val="0047140A"/>
    <w:rsid w:val="004B3971"/>
    <w:rsid w:val="004E14DC"/>
    <w:rsid w:val="005C4A7F"/>
    <w:rsid w:val="005C7513"/>
    <w:rsid w:val="005F108A"/>
    <w:rsid w:val="00685897"/>
    <w:rsid w:val="006C3C6B"/>
    <w:rsid w:val="006D6F01"/>
    <w:rsid w:val="00763484"/>
    <w:rsid w:val="007672D6"/>
    <w:rsid w:val="00783FFB"/>
    <w:rsid w:val="00797128"/>
    <w:rsid w:val="007E7DA0"/>
    <w:rsid w:val="0085436E"/>
    <w:rsid w:val="00893D05"/>
    <w:rsid w:val="00987B3B"/>
    <w:rsid w:val="00A26B1B"/>
    <w:rsid w:val="00A311F1"/>
    <w:rsid w:val="00AF338D"/>
    <w:rsid w:val="00B27846"/>
    <w:rsid w:val="00C92774"/>
    <w:rsid w:val="00CD3F2E"/>
    <w:rsid w:val="00D16B8E"/>
    <w:rsid w:val="00D8749A"/>
    <w:rsid w:val="00D961D4"/>
    <w:rsid w:val="00DD72AC"/>
    <w:rsid w:val="00E806F7"/>
    <w:rsid w:val="00E8313A"/>
    <w:rsid w:val="00F13371"/>
    <w:rsid w:val="00F8254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9F6F1"/>
  <w15:chartTrackingRefBased/>
  <w15:docId w15:val="{546A6963-AE38-49B9-9D43-090472A60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F13371"/>
    <w:pPr>
      <w:spacing w:before="100" w:beforeAutospacing="1" w:after="100" w:afterAutospacing="1" w:line="240" w:lineRule="auto"/>
    </w:pPr>
    <w:rPr>
      <w:rFonts w:ascii="Times New Roman" w:eastAsia="Times New Roman" w:hAnsi="Times New Roman" w:cs="Times New Roman"/>
      <w:kern w:val="0"/>
      <w:sz w:val="24"/>
      <w:szCs w:val="24"/>
      <w:lang w:eastAsia="el-GR"/>
      <w14:ligatures w14:val="none"/>
    </w:rPr>
  </w:style>
  <w:style w:type="character" w:styleId="a3">
    <w:name w:val="Emphasis"/>
    <w:basedOn w:val="a0"/>
    <w:uiPriority w:val="20"/>
    <w:qFormat/>
    <w:rsid w:val="00783FF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933445">
      <w:bodyDiv w:val="1"/>
      <w:marLeft w:val="0"/>
      <w:marRight w:val="0"/>
      <w:marTop w:val="0"/>
      <w:marBottom w:val="0"/>
      <w:divBdr>
        <w:top w:val="none" w:sz="0" w:space="0" w:color="auto"/>
        <w:left w:val="none" w:sz="0" w:space="0" w:color="auto"/>
        <w:bottom w:val="none" w:sz="0" w:space="0" w:color="auto"/>
        <w:right w:val="none" w:sz="0" w:space="0" w:color="auto"/>
      </w:divBdr>
    </w:div>
    <w:div w:id="252323946">
      <w:bodyDiv w:val="1"/>
      <w:marLeft w:val="0"/>
      <w:marRight w:val="0"/>
      <w:marTop w:val="0"/>
      <w:marBottom w:val="0"/>
      <w:divBdr>
        <w:top w:val="none" w:sz="0" w:space="0" w:color="auto"/>
        <w:left w:val="none" w:sz="0" w:space="0" w:color="auto"/>
        <w:bottom w:val="none" w:sz="0" w:space="0" w:color="auto"/>
        <w:right w:val="none" w:sz="0" w:space="0" w:color="auto"/>
      </w:divBdr>
    </w:div>
    <w:div w:id="295569093">
      <w:bodyDiv w:val="1"/>
      <w:marLeft w:val="0"/>
      <w:marRight w:val="0"/>
      <w:marTop w:val="0"/>
      <w:marBottom w:val="0"/>
      <w:divBdr>
        <w:top w:val="none" w:sz="0" w:space="0" w:color="auto"/>
        <w:left w:val="none" w:sz="0" w:space="0" w:color="auto"/>
        <w:bottom w:val="none" w:sz="0" w:space="0" w:color="auto"/>
        <w:right w:val="none" w:sz="0" w:space="0" w:color="auto"/>
      </w:divBdr>
    </w:div>
    <w:div w:id="502284475">
      <w:bodyDiv w:val="1"/>
      <w:marLeft w:val="0"/>
      <w:marRight w:val="0"/>
      <w:marTop w:val="0"/>
      <w:marBottom w:val="0"/>
      <w:divBdr>
        <w:top w:val="none" w:sz="0" w:space="0" w:color="auto"/>
        <w:left w:val="none" w:sz="0" w:space="0" w:color="auto"/>
        <w:bottom w:val="none" w:sz="0" w:space="0" w:color="auto"/>
        <w:right w:val="none" w:sz="0" w:space="0" w:color="auto"/>
      </w:divBdr>
    </w:div>
    <w:div w:id="673844385">
      <w:bodyDiv w:val="1"/>
      <w:marLeft w:val="0"/>
      <w:marRight w:val="0"/>
      <w:marTop w:val="0"/>
      <w:marBottom w:val="0"/>
      <w:divBdr>
        <w:top w:val="none" w:sz="0" w:space="0" w:color="auto"/>
        <w:left w:val="none" w:sz="0" w:space="0" w:color="auto"/>
        <w:bottom w:val="none" w:sz="0" w:space="0" w:color="auto"/>
        <w:right w:val="none" w:sz="0" w:space="0" w:color="auto"/>
      </w:divBdr>
    </w:div>
    <w:div w:id="1006445228">
      <w:bodyDiv w:val="1"/>
      <w:marLeft w:val="0"/>
      <w:marRight w:val="0"/>
      <w:marTop w:val="0"/>
      <w:marBottom w:val="0"/>
      <w:divBdr>
        <w:top w:val="none" w:sz="0" w:space="0" w:color="auto"/>
        <w:left w:val="none" w:sz="0" w:space="0" w:color="auto"/>
        <w:bottom w:val="none" w:sz="0" w:space="0" w:color="auto"/>
        <w:right w:val="none" w:sz="0" w:space="0" w:color="auto"/>
      </w:divBdr>
    </w:div>
    <w:div w:id="1197541132">
      <w:bodyDiv w:val="1"/>
      <w:marLeft w:val="0"/>
      <w:marRight w:val="0"/>
      <w:marTop w:val="0"/>
      <w:marBottom w:val="0"/>
      <w:divBdr>
        <w:top w:val="none" w:sz="0" w:space="0" w:color="auto"/>
        <w:left w:val="none" w:sz="0" w:space="0" w:color="auto"/>
        <w:bottom w:val="none" w:sz="0" w:space="0" w:color="auto"/>
        <w:right w:val="none" w:sz="0" w:space="0" w:color="auto"/>
      </w:divBdr>
    </w:div>
    <w:div w:id="1275477133">
      <w:bodyDiv w:val="1"/>
      <w:marLeft w:val="0"/>
      <w:marRight w:val="0"/>
      <w:marTop w:val="0"/>
      <w:marBottom w:val="0"/>
      <w:divBdr>
        <w:top w:val="none" w:sz="0" w:space="0" w:color="auto"/>
        <w:left w:val="none" w:sz="0" w:space="0" w:color="auto"/>
        <w:bottom w:val="none" w:sz="0" w:space="0" w:color="auto"/>
        <w:right w:val="none" w:sz="0" w:space="0" w:color="auto"/>
      </w:divBdr>
    </w:div>
    <w:div w:id="1282496497">
      <w:bodyDiv w:val="1"/>
      <w:marLeft w:val="0"/>
      <w:marRight w:val="0"/>
      <w:marTop w:val="0"/>
      <w:marBottom w:val="0"/>
      <w:divBdr>
        <w:top w:val="none" w:sz="0" w:space="0" w:color="auto"/>
        <w:left w:val="none" w:sz="0" w:space="0" w:color="auto"/>
        <w:bottom w:val="none" w:sz="0" w:space="0" w:color="auto"/>
        <w:right w:val="none" w:sz="0" w:space="0" w:color="auto"/>
      </w:divBdr>
    </w:div>
    <w:div w:id="1415053382">
      <w:bodyDiv w:val="1"/>
      <w:marLeft w:val="0"/>
      <w:marRight w:val="0"/>
      <w:marTop w:val="0"/>
      <w:marBottom w:val="0"/>
      <w:divBdr>
        <w:top w:val="none" w:sz="0" w:space="0" w:color="auto"/>
        <w:left w:val="none" w:sz="0" w:space="0" w:color="auto"/>
        <w:bottom w:val="none" w:sz="0" w:space="0" w:color="auto"/>
        <w:right w:val="none" w:sz="0" w:space="0" w:color="auto"/>
      </w:divBdr>
    </w:div>
    <w:div w:id="1612853877">
      <w:bodyDiv w:val="1"/>
      <w:marLeft w:val="0"/>
      <w:marRight w:val="0"/>
      <w:marTop w:val="0"/>
      <w:marBottom w:val="0"/>
      <w:divBdr>
        <w:top w:val="none" w:sz="0" w:space="0" w:color="auto"/>
        <w:left w:val="none" w:sz="0" w:space="0" w:color="auto"/>
        <w:bottom w:val="none" w:sz="0" w:space="0" w:color="auto"/>
        <w:right w:val="none" w:sz="0" w:space="0" w:color="auto"/>
      </w:divBdr>
    </w:div>
    <w:div w:id="1976443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5</Pages>
  <Words>2531</Words>
  <Characters>13669</Characters>
  <Application>Microsoft Office Word</Application>
  <DocSecurity>0</DocSecurity>
  <Lines>113</Lines>
  <Paragraphs>32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Δώρα Μόσχου</dc:creator>
  <cp:keywords/>
  <dc:description/>
  <cp:lastModifiedBy>Δώρα Μόσχου</cp:lastModifiedBy>
  <cp:revision>42</cp:revision>
  <dcterms:created xsi:type="dcterms:W3CDTF">2023-10-07T10:30:00Z</dcterms:created>
  <dcterms:modified xsi:type="dcterms:W3CDTF">2023-10-08T09:22:00Z</dcterms:modified>
</cp:coreProperties>
</file>