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Pr>
      <w:tblGrid>
        <w:gridCol w:w="4856"/>
        <w:gridCol w:w="4857"/>
        <w:gridCol w:w="4857"/>
      </w:tblGrid>
      <w:tr>
        <w:trPr/>
        <w:tc>
          <w:tcPr>
            <w:tcW w:w="4856" w:type="dxa"/>
            <w:tcBorders>
              <w:top w:val="single" w:sz="4" w:space="0" w:color="000000"/>
              <w:left w:val="single" w:sz="4" w:space="0" w:color="000000"/>
              <w:bottom w:val="single" w:sz="4" w:space="0" w:color="000000"/>
            </w:tcBorders>
          </w:tcPr>
          <w:p>
            <w:pPr>
              <w:pStyle w:val="Normal"/>
              <w:widowControl/>
              <w:bidi w:val="0"/>
              <w:spacing w:lineRule="auto" w:line="276" w:before="0" w:after="0"/>
              <w:jc w:val="both"/>
              <w:rPr>
                <w:rFonts w:ascii="Times New Roman" w:hAnsi="Times New Roman" w:eastAsia="Times New Roman" w:cs="Times New Roman"/>
                <w:sz w:val="24"/>
                <w:szCs w:val="24"/>
              </w:rPr>
            </w:pPr>
            <w:r>
              <w:rPr>
                <w:rFonts w:eastAsia="Times New Roman" w:cs="Times New Roman" w:ascii="Calibri" w:hAnsi="Calibri"/>
                <w:kern w:val="0"/>
                <w:sz w:val="24"/>
                <w:szCs w:val="24"/>
                <w:lang w:val="el-GR" w:eastAsia="en-US" w:bidi="ar-SA"/>
              </w:rPr>
              <w:t xml:space="preserve">Τα νησιά Λαβεντζί αποτελούνται από μία εκατοστή νησίδων στα ανοιχτά της Μεσογείου. Με έκταση 5.123ha και με ανώτατο υψόμετρο τα 50μ., βρίσκονται σε απόσταση δέκα χιλιομέτρων στα νότια του Μπονιφάτσιο. Είναι ένας προστατευμένος χώρος, θεσπισμένος να παραμείνει φυσικός από το 1982. Ο σκόπελος, στα νότια των νησιών, είναι το πιο νότιο σημείο στην μητρόπολη της Γαλλίας. </w:t>
            </w:r>
          </w:p>
          <w:p>
            <w:pPr>
              <w:pStyle w:val="Normal"/>
              <w:widowControl/>
              <w:bidi w:val="0"/>
              <w:spacing w:lineRule="auto" w:line="276" w:before="0" w:after="0"/>
              <w:jc w:val="both"/>
              <w:rPr>
                <w:rFonts w:ascii="Times New Roman" w:hAnsi="Times New Roman" w:eastAsia="Times New Roman" w:cs="Times New Roman"/>
                <w:sz w:val="24"/>
                <w:szCs w:val="24"/>
              </w:rPr>
            </w:pPr>
            <w:r>
              <w:rPr>
                <w:rFonts w:eastAsia="Calibri" w:cs="" w:ascii="Calibri" w:hAnsi="Calibri"/>
                <w:kern w:val="0"/>
                <w:sz w:val="24"/>
                <w:szCs w:val="24"/>
                <w:lang w:val="el-GR" w:eastAsia="en-US" w:bidi="ar-SA"/>
              </w:rPr>
            </w:r>
          </w:p>
          <w:p>
            <w:pPr>
              <w:pStyle w:val="Normal"/>
              <w:widowControl/>
              <w:bidi w:val="0"/>
              <w:spacing w:lineRule="auto" w:line="276" w:before="0" w:after="0"/>
              <w:jc w:val="both"/>
              <w:rPr>
                <w:rFonts w:ascii="Times New Roman" w:hAnsi="Times New Roman" w:eastAsia="Times New Roman" w:cs="Times New Roman"/>
                <w:sz w:val="24"/>
                <w:szCs w:val="24"/>
              </w:rPr>
            </w:pPr>
            <w:r>
              <w:rPr>
                <w:rFonts w:eastAsia="Times New Roman" w:cs="Times New Roman" w:ascii="Calibri" w:hAnsi="Calibri"/>
                <w:kern w:val="0"/>
                <w:sz w:val="24"/>
                <w:szCs w:val="24"/>
                <w:lang w:val="el-GR" w:eastAsia="en-US" w:bidi="ar-SA"/>
              </w:rPr>
              <w:t xml:space="preserve">Το 1855 ήταν το μέρος όπου έγινε το ναυάγιο της Σεμιλάντ, μία φρεγάτα που έφευγε από την Τουλόν και κατευθυνόταν προς την Κριμαία. Η πιο απευθείας διαδρομή για να επιστρέψει στην Τουλόν μέσω του Αιγαίου Πελάγους είναι να περάσει από τη νότια Σαρδηνία.  </w:t>
            </w:r>
          </w:p>
        </w:tc>
        <w:tc>
          <w:tcPr>
            <w:tcW w:w="4857" w:type="dxa"/>
            <w:tcBorders>
              <w:top w:val="single" w:sz="4" w:space="0" w:color="000000"/>
              <w:left w:val="single" w:sz="4" w:space="0" w:color="000000"/>
              <w:bottom w:val="single" w:sz="4" w:space="0" w:color="000000"/>
            </w:tcBorders>
          </w:tcPr>
          <w:p>
            <w:pPr>
              <w:pStyle w:val="Normal"/>
              <w:widowControl/>
              <w:bidi w:val="0"/>
              <w:spacing w:lineRule="auto" w:line="276" w:before="0" w:after="0"/>
              <w:ind w:hanging="0"/>
              <w:jc w:val="left"/>
              <w:rPr>
                <w:rFonts w:ascii="Garamond" w:hAnsi="Garamond" w:eastAsia="Times New Roman"/>
                <w:sz w:val="28"/>
                <w:szCs w:val="24"/>
                <w:lang w:val="fr-CA" w:eastAsia="el-GR"/>
              </w:rPr>
            </w:pPr>
            <w:r>
              <w:rPr>
                <w:rFonts w:eastAsia="Times New Roman" w:ascii="Calibri" w:hAnsi="Calibri"/>
                <w:b/>
                <w:sz w:val="24"/>
                <w:szCs w:val="24"/>
                <w:lang w:val="fr-CA" w:eastAsia="el-GR" w:bidi="ar-SA"/>
              </w:rPr>
              <w:t>Les îles Lavezzi</w:t>
            </w:r>
            <w:r>
              <w:rPr>
                <w:rFonts w:eastAsia="Times New Roman" w:ascii="Calibri" w:hAnsi="Calibri"/>
                <w:sz w:val="24"/>
                <w:szCs w:val="24"/>
                <w:lang w:val="fr-CA" w:eastAsia="el-GR" w:bidi="ar-SA"/>
              </w:rPr>
              <w:t xml:space="preserve"> sont constituées </w:t>
            </w:r>
            <w:r>
              <w:rPr>
                <w:rFonts w:eastAsia="Times New Roman" w:ascii="Calibri" w:hAnsi="Calibri"/>
                <w:b/>
                <w:sz w:val="24"/>
                <w:szCs w:val="24"/>
                <w:lang w:val="fr-CA" w:eastAsia="el-GR" w:bidi="ar-SA"/>
              </w:rPr>
              <w:t>d'une centaine</w:t>
            </w:r>
            <w:r>
              <w:rPr>
                <w:rFonts w:eastAsia="Times New Roman" w:ascii="Calibri" w:hAnsi="Calibri"/>
                <w:sz w:val="24"/>
                <w:szCs w:val="24"/>
                <w:lang w:val="fr-CA" w:eastAsia="el-GR" w:bidi="ar-SA"/>
              </w:rPr>
              <w:t xml:space="preserve"> d'</w:t>
            </w:r>
            <w:r>
              <w:rPr>
                <w:rFonts w:eastAsia="Times New Roman" w:ascii="Calibri" w:hAnsi="Calibri"/>
                <w:b/>
                <w:sz w:val="24"/>
                <w:szCs w:val="24"/>
                <w:lang w:val="fr-CA" w:eastAsia="el-GR" w:bidi="ar-SA"/>
              </w:rPr>
              <w:t>îlots</w:t>
            </w:r>
            <w:r>
              <w:rPr>
                <w:rFonts w:eastAsia="Times New Roman" w:ascii="Calibri" w:hAnsi="Calibri"/>
                <w:sz w:val="24"/>
                <w:szCs w:val="24"/>
                <w:lang w:val="fr-CA" w:eastAsia="el-GR" w:bidi="ar-SA"/>
              </w:rPr>
              <w:t xml:space="preserve"> </w:t>
            </w:r>
            <w:r>
              <w:rPr>
                <w:rFonts w:eastAsia="Times New Roman" w:ascii="Calibri" w:hAnsi="Calibri"/>
                <w:b/>
                <w:sz w:val="24"/>
                <w:szCs w:val="24"/>
                <w:lang w:val="fr-CA" w:eastAsia="el-GR" w:bidi="ar-SA"/>
              </w:rPr>
              <w:t>au large de</w:t>
            </w:r>
            <w:r>
              <w:rPr>
                <w:rFonts w:eastAsia="Times New Roman" w:ascii="Calibri" w:hAnsi="Calibri"/>
                <w:sz w:val="24"/>
                <w:szCs w:val="24"/>
                <w:lang w:val="fr-CA" w:eastAsia="el-GR" w:bidi="ar-SA"/>
              </w:rPr>
              <w:t xml:space="preserve"> la Méditerranée. D'une superficie de 5.123 </w:t>
            </w:r>
            <w:r>
              <w:rPr>
                <w:rFonts w:eastAsia="Times New Roman" w:ascii="Calibri" w:hAnsi="Calibri"/>
                <w:b/>
                <w:sz w:val="24"/>
                <w:szCs w:val="24"/>
                <w:lang w:val="fr-CA" w:eastAsia="el-GR" w:bidi="ar-SA"/>
              </w:rPr>
              <w:t>ha</w:t>
            </w:r>
            <w:r>
              <w:rPr>
                <w:rFonts w:eastAsia="Times New Roman" w:ascii="Calibri" w:hAnsi="Calibri"/>
                <w:sz w:val="24"/>
                <w:szCs w:val="24"/>
                <w:lang w:val="fr-CA" w:eastAsia="el-GR" w:bidi="ar-SA"/>
              </w:rPr>
              <w:t xml:space="preserve"> et d'une altitude maximale de 50m, elles sont situées à 10 kilomètres </w:t>
            </w:r>
            <w:r>
              <w:rPr>
                <w:rFonts w:eastAsia="Times New Roman" w:ascii="Calibri" w:hAnsi="Calibri"/>
                <w:b/>
                <w:sz w:val="24"/>
                <w:szCs w:val="24"/>
                <w:lang w:val="fr-CA" w:eastAsia="el-GR" w:bidi="ar-SA"/>
              </w:rPr>
              <w:t>au sud de</w:t>
            </w:r>
            <w:r>
              <w:rPr>
                <w:rFonts w:eastAsia="Times New Roman" w:ascii="Calibri" w:hAnsi="Calibri"/>
                <w:sz w:val="24"/>
                <w:szCs w:val="24"/>
                <w:lang w:val="fr-CA" w:eastAsia="el-GR" w:bidi="ar-SA"/>
              </w:rPr>
              <w:t xml:space="preserve"> </w:t>
            </w:r>
            <w:r>
              <w:rPr>
                <w:rFonts w:eastAsia="Times New Roman" w:ascii="Calibri" w:hAnsi="Calibri"/>
                <w:b/>
                <w:sz w:val="24"/>
                <w:szCs w:val="24"/>
                <w:lang w:val="fr-CA" w:eastAsia="el-GR" w:bidi="ar-SA"/>
              </w:rPr>
              <w:t>Bonifacio</w:t>
            </w:r>
            <w:r>
              <w:rPr>
                <w:rFonts w:eastAsia="Times New Roman" w:ascii="Calibri" w:hAnsi="Calibri"/>
                <w:sz w:val="24"/>
                <w:szCs w:val="24"/>
                <w:lang w:val="fr-CA" w:eastAsia="el-GR" w:bidi="ar-SA"/>
              </w:rPr>
              <w:t xml:space="preserve">. C'est un espace protégé, institué en </w:t>
            </w:r>
            <w:r>
              <w:rPr>
                <w:rFonts w:eastAsia="Times New Roman" w:ascii="Calibri" w:hAnsi="Calibri"/>
                <w:b/>
                <w:sz w:val="24"/>
                <w:szCs w:val="24"/>
                <w:lang w:val="fr-CA" w:eastAsia="el-GR" w:bidi="ar-SA"/>
              </w:rPr>
              <w:t>réserve naturelle</w:t>
            </w:r>
            <w:r>
              <w:rPr>
                <w:rFonts w:eastAsia="Times New Roman" w:ascii="Calibri" w:hAnsi="Calibri"/>
                <w:sz w:val="24"/>
                <w:szCs w:val="24"/>
                <w:lang w:val="fr-CA" w:eastAsia="el-GR" w:bidi="ar-SA"/>
              </w:rPr>
              <w:t xml:space="preserve"> depuis 1982. </w:t>
            </w:r>
            <w:r>
              <w:rPr>
                <w:rFonts w:eastAsia="Times New Roman" w:ascii="Calibri" w:hAnsi="Calibri"/>
                <w:b/>
                <w:sz w:val="24"/>
                <w:szCs w:val="24"/>
                <w:lang w:val="fr-CA" w:eastAsia="el-GR" w:bidi="ar-SA"/>
              </w:rPr>
              <w:t>L'écueil,</w:t>
            </w:r>
            <w:r>
              <w:rPr>
                <w:rFonts w:eastAsia="Times New Roman" w:ascii="Calibri" w:hAnsi="Calibri"/>
                <w:sz w:val="24"/>
                <w:szCs w:val="24"/>
                <w:lang w:val="fr-CA" w:eastAsia="el-GR" w:bidi="ar-SA"/>
              </w:rPr>
              <w:t xml:space="preserve"> au sud des îles est le point </w:t>
            </w:r>
            <w:r>
              <w:rPr>
                <w:rFonts w:eastAsia="Times New Roman" w:ascii="Calibri" w:hAnsi="Calibri"/>
                <w:b/>
                <w:sz w:val="24"/>
                <w:szCs w:val="24"/>
                <w:lang w:val="fr-CA" w:eastAsia="el-GR" w:bidi="ar-SA"/>
              </w:rPr>
              <w:t>le plus au</w:t>
            </w:r>
            <w:r>
              <w:rPr>
                <w:rFonts w:eastAsia="Times New Roman" w:ascii="Calibri" w:hAnsi="Calibri"/>
                <w:sz w:val="24"/>
                <w:szCs w:val="24"/>
                <w:lang w:val="fr-CA" w:eastAsia="el-GR" w:bidi="ar-SA"/>
              </w:rPr>
              <w:t xml:space="preserve"> sud de la </w:t>
            </w:r>
            <w:r>
              <w:rPr>
                <w:rFonts w:eastAsia="Times New Roman" w:ascii="Calibri" w:hAnsi="Calibri"/>
                <w:b/>
                <w:sz w:val="24"/>
                <w:szCs w:val="24"/>
                <w:lang w:val="fr-CA" w:eastAsia="el-GR" w:bidi="ar-SA"/>
              </w:rPr>
              <w:t>France métropolitaine</w:t>
            </w:r>
            <w:r>
              <w:rPr>
                <w:rFonts w:eastAsia="Times New Roman" w:ascii="Calibri" w:hAnsi="Calibri"/>
                <w:sz w:val="24"/>
                <w:szCs w:val="24"/>
                <w:lang w:val="fr-CA" w:eastAsia="el-GR" w:bidi="ar-SA"/>
              </w:rPr>
              <w:t>.</w:t>
            </w:r>
          </w:p>
          <w:p>
            <w:pPr>
              <w:pStyle w:val="Normal"/>
              <w:widowControl/>
              <w:bidi w:val="0"/>
              <w:spacing w:lineRule="auto" w:line="276" w:before="0" w:after="0"/>
              <w:ind w:hanging="0"/>
              <w:jc w:val="left"/>
              <w:rPr>
                <w:rFonts w:ascii="Garamond" w:hAnsi="Garamond"/>
                <w:sz w:val="24"/>
                <w:lang w:val="fr-CA"/>
              </w:rPr>
            </w:pPr>
            <w:r>
              <w:rPr>
                <w:rFonts w:ascii="Calibri" w:hAnsi="Calibri"/>
                <w:sz w:val="24"/>
                <w:szCs w:val="24"/>
                <w:lang w:val="fr-CA" w:bidi="ar-SA"/>
              </w:rPr>
            </w:r>
          </w:p>
          <w:p>
            <w:pPr>
              <w:pStyle w:val="Normal"/>
              <w:widowControl/>
              <w:bidi w:val="0"/>
              <w:spacing w:lineRule="auto" w:line="276" w:before="0" w:after="0"/>
              <w:ind w:hanging="0"/>
              <w:jc w:val="left"/>
              <w:rPr>
                <w:rFonts w:ascii="Garamond" w:hAnsi="Garamond" w:eastAsia="Times New Roman"/>
                <w:sz w:val="28"/>
                <w:szCs w:val="24"/>
                <w:lang w:val="fr-CA" w:eastAsia="el-GR"/>
              </w:rPr>
            </w:pPr>
            <w:r>
              <w:rPr>
                <w:rFonts w:eastAsia="Times New Roman" w:ascii="Calibri" w:hAnsi="Calibri"/>
                <w:sz w:val="24"/>
                <w:szCs w:val="24"/>
                <w:lang w:val="fr-CA" w:eastAsia="el-GR" w:bidi="ar-SA"/>
              </w:rPr>
            </w:r>
          </w:p>
          <w:p>
            <w:pPr>
              <w:pStyle w:val="Normal"/>
              <w:widowControl/>
              <w:bidi w:val="0"/>
              <w:spacing w:lineRule="auto" w:line="276" w:before="0" w:after="0"/>
              <w:ind w:hanging="0"/>
              <w:jc w:val="left"/>
              <w:rPr>
                <w:rFonts w:ascii="Garamond" w:hAnsi="Garamond" w:eastAsia="Times New Roman"/>
                <w:sz w:val="28"/>
                <w:szCs w:val="24"/>
                <w:lang w:val="fr-CA" w:eastAsia="el-GR"/>
              </w:rPr>
            </w:pPr>
            <w:r>
              <w:rPr>
                <w:rFonts w:eastAsia="Times New Roman" w:ascii="Calibri" w:hAnsi="Calibri"/>
                <w:sz w:val="24"/>
                <w:szCs w:val="24"/>
                <w:lang w:val="fr-CA" w:eastAsia="el-GR" w:bidi="ar-SA"/>
              </w:rPr>
              <w:t xml:space="preserve">Elles </w:t>
            </w:r>
            <w:r>
              <w:rPr>
                <w:rFonts w:eastAsia="Times New Roman" w:ascii="Calibri" w:hAnsi="Calibri"/>
                <w:b/>
                <w:sz w:val="24"/>
                <w:szCs w:val="24"/>
                <w:lang w:val="fr-CA" w:eastAsia="el-GR" w:bidi="ar-SA"/>
              </w:rPr>
              <w:t>furent</w:t>
            </w:r>
            <w:r>
              <w:rPr>
                <w:rFonts w:eastAsia="Times New Roman" w:ascii="Calibri" w:hAnsi="Calibri"/>
                <w:sz w:val="24"/>
                <w:szCs w:val="24"/>
                <w:lang w:val="fr-CA" w:eastAsia="el-GR" w:bidi="ar-SA"/>
              </w:rPr>
              <w:t xml:space="preserve"> en 1855 </w:t>
            </w:r>
            <w:r>
              <w:rPr>
                <w:rFonts w:eastAsia="Times New Roman" w:ascii="Calibri" w:hAnsi="Calibri"/>
                <w:b/>
                <w:sz w:val="24"/>
                <w:szCs w:val="24"/>
                <w:lang w:val="fr-CA" w:eastAsia="el-GR" w:bidi="ar-SA"/>
              </w:rPr>
              <w:t>le théâtre du</w:t>
            </w:r>
            <w:r>
              <w:rPr>
                <w:rFonts w:eastAsia="Times New Roman" w:ascii="Calibri" w:hAnsi="Calibri"/>
                <w:sz w:val="24"/>
                <w:szCs w:val="24"/>
                <w:lang w:val="fr-CA" w:eastAsia="el-GR" w:bidi="ar-SA"/>
              </w:rPr>
              <w:t xml:space="preserve"> naufrage de la Sémillante, frégate partie de Toulon en direction de la </w:t>
            </w:r>
            <w:r>
              <w:rPr>
                <w:rFonts w:eastAsia="Times New Roman" w:ascii="Calibri" w:hAnsi="Calibri"/>
                <w:b/>
                <w:sz w:val="24"/>
                <w:szCs w:val="24"/>
                <w:lang w:val="fr-CA" w:eastAsia="el-GR" w:bidi="ar-SA"/>
              </w:rPr>
              <w:t>Crimée</w:t>
            </w:r>
            <w:r>
              <w:rPr>
                <w:rFonts w:eastAsia="Times New Roman" w:ascii="Calibri" w:hAnsi="Calibri"/>
                <w:sz w:val="24"/>
                <w:szCs w:val="24"/>
                <w:lang w:val="fr-CA" w:eastAsia="el-GR" w:bidi="ar-SA"/>
              </w:rPr>
              <w:t xml:space="preserve">. La route la plus directe pour se rendre de Toulon en mer Égée </w:t>
            </w:r>
            <w:r>
              <w:rPr>
                <w:rFonts w:eastAsia="Times New Roman" w:ascii="Calibri" w:hAnsi="Calibri"/>
                <w:b/>
                <w:sz w:val="24"/>
                <w:szCs w:val="24"/>
                <w:lang w:val="fr-CA" w:eastAsia="el-GR" w:bidi="ar-SA"/>
              </w:rPr>
              <w:t>passe par le sud</w:t>
            </w:r>
            <w:r>
              <w:rPr>
                <w:rFonts w:eastAsia="Times New Roman" w:ascii="Calibri" w:hAnsi="Calibri"/>
                <w:sz w:val="24"/>
                <w:szCs w:val="24"/>
                <w:lang w:val="fr-CA" w:eastAsia="el-GR" w:bidi="ar-SA"/>
              </w:rPr>
              <w:t xml:space="preserve"> Sardaigne.</w:t>
            </w:r>
          </w:p>
          <w:p>
            <w:pPr>
              <w:pStyle w:val="Normal"/>
              <w:widowControl/>
              <w:bidi w:val="0"/>
              <w:spacing w:lineRule="auto" w:line="276" w:before="0" w:after="0"/>
              <w:jc w:val="left"/>
              <w:rPr>
                <w:rFonts w:ascii="Times New Roman" w:hAnsi="Times New Roman"/>
                <w:lang w:val="fr-CA"/>
              </w:rPr>
            </w:pPr>
            <w:r>
              <w:rPr>
                <w:rFonts w:ascii="Calibri" w:hAnsi="Calibri"/>
                <w:sz w:val="24"/>
                <w:szCs w:val="24"/>
                <w:lang w:val="fr-CA" w:bidi="ar-SA"/>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0"/>
              <w:ind w:hanging="0"/>
              <w:jc w:val="left"/>
              <w:rPr>
                <w:rFonts w:ascii="Times New Roman" w:hAnsi="Times New Roman"/>
                <w:sz w:val="28"/>
                <w:szCs w:val="28"/>
              </w:rPr>
            </w:pPr>
            <w:r>
              <w:rPr>
                <w:rFonts w:ascii="Calibri" w:hAnsi="Calibri"/>
                <w:sz w:val="24"/>
                <w:szCs w:val="24"/>
                <w:lang w:val="el-GR" w:bidi="ar-SA"/>
              </w:rPr>
              <w:t>Τα νησιά  Λαβέτσι αποτελούνται από συγκεκριμένες νησίδες κατά μήκος της Μεσογείου. Σε επιφάνεια 5.123 εκτάρια και σε μέγιστο υψόμετρο των 50μ, τοποθετούνται στα 10 χιλιόμετρα στα νότια του Μπονιφάτσο. Είναι ένας χώρος προστατευόμενος, θεσμοθετημένος σε φυσικό καταφύγιο από το 1982. Ο ύφαλος, στα νότια των νησιών είναι το νοτιότερο σημείο της μητροπολιτικής Γαλλίας.</w:t>
            </w:r>
          </w:p>
          <w:p>
            <w:pPr>
              <w:pStyle w:val="Normal"/>
              <w:widowControl/>
              <w:bidi w:val="0"/>
              <w:spacing w:lineRule="auto" w:line="276" w:before="0" w:after="0"/>
              <w:ind w:hanging="0"/>
              <w:jc w:val="left"/>
              <w:rPr>
                <w:rFonts w:ascii="Times New Roman" w:hAnsi="Times New Roman"/>
                <w:sz w:val="28"/>
                <w:szCs w:val="28"/>
              </w:rPr>
            </w:pPr>
            <w:r>
              <w:rPr>
                <w:rFonts w:ascii="Calibri" w:hAnsi="Calibri"/>
                <w:sz w:val="24"/>
                <w:szCs w:val="24"/>
                <w:lang w:val="el-GR" w:bidi="ar-SA"/>
              </w:rPr>
            </w:r>
          </w:p>
          <w:p>
            <w:pPr>
              <w:pStyle w:val="Normal"/>
              <w:widowControl/>
              <w:bidi w:val="0"/>
              <w:spacing w:lineRule="auto" w:line="276" w:before="0" w:after="0"/>
              <w:ind w:hanging="0"/>
              <w:jc w:val="left"/>
              <w:rPr>
                <w:rFonts w:ascii="Times New Roman" w:hAnsi="Times New Roman"/>
                <w:sz w:val="28"/>
                <w:szCs w:val="28"/>
              </w:rPr>
            </w:pPr>
            <w:r>
              <w:rPr>
                <w:rFonts w:ascii="Calibri" w:hAnsi="Calibri"/>
                <w:sz w:val="24"/>
                <w:szCs w:val="24"/>
                <w:lang w:val="el-GR" w:bidi="ar-SA"/>
              </w:rPr>
              <w:t>Ήταν το 1855 το θέατρο του ναυαγίου του «L</w:t>
            </w:r>
            <w:r>
              <w:rPr>
                <w:rFonts w:ascii="Calibri" w:hAnsi="Calibri"/>
                <w:sz w:val="24"/>
                <w:szCs w:val="24"/>
                <w:lang w:val="en-US" w:bidi="ar-SA"/>
              </w:rPr>
              <w:t>a</w:t>
            </w:r>
            <w:r>
              <w:rPr>
                <w:rFonts w:ascii="Calibri" w:hAnsi="Calibri"/>
                <w:sz w:val="24"/>
                <w:szCs w:val="24"/>
                <w:lang w:val="el-GR" w:bidi="ar-SA"/>
              </w:rPr>
              <w:t xml:space="preserve"> </w:t>
            </w:r>
            <w:r>
              <w:rPr>
                <w:rFonts w:ascii="Calibri" w:hAnsi="Calibri"/>
                <w:sz w:val="24"/>
                <w:szCs w:val="24"/>
                <w:lang w:val="en-US" w:bidi="ar-SA"/>
              </w:rPr>
              <w:t>S</w:t>
            </w:r>
            <w:r>
              <w:rPr>
                <w:rFonts w:ascii="Calibri" w:hAnsi="Calibri"/>
                <w:sz w:val="24"/>
                <w:szCs w:val="24"/>
                <w:lang w:val="el-GR" w:bidi="ar-SA"/>
              </w:rPr>
              <w:t>é</w:t>
            </w:r>
            <w:r>
              <w:rPr>
                <w:rFonts w:ascii="Calibri" w:hAnsi="Calibri"/>
                <w:sz w:val="24"/>
                <w:szCs w:val="24"/>
                <w:lang w:val="en-US" w:bidi="ar-SA"/>
              </w:rPr>
              <w:t>millante</w:t>
            </w:r>
            <w:r>
              <w:rPr>
                <w:rFonts w:ascii="Calibri" w:hAnsi="Calibri"/>
                <w:sz w:val="24"/>
                <w:szCs w:val="24"/>
                <w:lang w:val="el-GR" w:bidi="ar-SA"/>
              </w:rPr>
              <w:t xml:space="preserve">» ναυτικής φρεγάτας μέρος της Τουλόν στην κατεύθυνση της Κριμαίας. Το απευθείας δρομολόγιο για να μεταβούν από την Τουλόν στο Αιγαίο Πέλαγος περνώντας από τα νότια της Σαρδηνίας. </w:t>
            </w:r>
          </w:p>
        </w:tc>
      </w:tr>
    </w:tbl>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Calibri">
    <w:charset w:val="01"/>
    <w:family w:val="swiss"/>
    <w:pitch w:val="variable"/>
  </w:font>
  <w:font w:name="Times New Roman">
    <w:charset w:val="a1"/>
    <w:family w:val="roman"/>
    <w:pitch w:val="variable"/>
  </w:font>
  <w:font w:name="Garamond">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Style16">
    <w:name w:val="Περιεχόμενα πίνακα"/>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LibreOffice/7.6.2.1$Windows_X86_64 LibreOffice_project/56f7684011345957bbf33a7ee678afaf4d2ba333</Application>
  <AppVersion>15.0000</AppVersion>
  <Pages>1</Pages>
  <Words>287</Words>
  <Characters>1495</Characters>
  <CharactersWithSpaces>1781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2023-11-11T09:55:05Z</dcterms:created>
  <dc:creator/>
  <dc:description/>
  <dc:language>el-GR</dc:language>
  <cp:lastModifiedBy/>
  <dcterms:modified xsi:type="dcterms:W3CDTF">2023-11-11T09:58:40Z</dcterms:modified>
  <cp:revision>1</cp:revision>
  <dc:subject/>
  <dc:title/>
</cp:coreProperties>
</file>