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rPr>
          <w:rFonts w:ascii="Garamond" w:hAnsi="Garamond"/>
          <w:sz w:val="24"/>
          <w:lang w:val="fr-CA"/>
        </w:rPr>
      </w:pPr>
      <w:r>
        <w:rPr>
          <w:rFonts w:eastAsia="Times New Roman" w:ascii="Garamond" w:hAnsi="Garamond"/>
          <w:b/>
          <w:sz w:val="28"/>
          <w:szCs w:val="24"/>
          <w:lang w:val="fr-CA" w:eastAsia="el-GR"/>
        </w:rPr>
        <w:t>Les îles Lavezzi</w:t>
      </w:r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 sont constituées </w:t>
      </w:r>
      <w:r>
        <w:rPr>
          <w:rFonts w:eastAsia="Times New Roman" w:ascii="Garamond" w:hAnsi="Garamond"/>
          <w:b/>
          <w:sz w:val="28"/>
          <w:szCs w:val="24"/>
          <w:lang w:val="fr-CA" w:eastAsia="el-GR"/>
        </w:rPr>
        <w:t>d'une centaine</w:t>
      </w:r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 d'</w:t>
      </w:r>
      <w:r>
        <w:rPr>
          <w:rFonts w:eastAsia="Times New Roman" w:ascii="Garamond" w:hAnsi="Garamond"/>
          <w:b/>
          <w:sz w:val="28"/>
          <w:szCs w:val="24"/>
          <w:lang w:val="fr-CA" w:eastAsia="el-GR"/>
        </w:rPr>
        <w:t>îlots</w:t>
      </w:r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 </w:t>
      </w:r>
      <w:r>
        <w:rPr>
          <w:rFonts w:eastAsia="Times New Roman" w:ascii="Garamond" w:hAnsi="Garamond"/>
          <w:b/>
          <w:sz w:val="28"/>
          <w:szCs w:val="24"/>
          <w:lang w:val="fr-CA" w:eastAsia="el-GR"/>
        </w:rPr>
        <w:t>au large de</w:t>
      </w:r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 la Méditerranée. D'une superficie de 5.123 </w:t>
      </w:r>
      <w:r>
        <w:rPr>
          <w:rFonts w:eastAsia="Times New Roman" w:ascii="Garamond" w:hAnsi="Garamond"/>
          <w:b/>
          <w:sz w:val="28"/>
          <w:szCs w:val="24"/>
          <w:lang w:val="fr-CA" w:eastAsia="el-GR"/>
        </w:rPr>
        <w:t>ha</w:t>
      </w:r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 et d'une altitude maximale de 50m, elles sont situées à 10 kilomètres </w:t>
      </w:r>
      <w:r>
        <w:rPr>
          <w:rFonts w:eastAsia="Times New Roman" w:ascii="Garamond" w:hAnsi="Garamond"/>
          <w:b/>
          <w:sz w:val="28"/>
          <w:szCs w:val="24"/>
          <w:lang w:val="fr-CA" w:eastAsia="el-GR"/>
        </w:rPr>
        <w:t>au sud de</w:t>
      </w:r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 </w:t>
      </w:r>
      <w:r>
        <w:rPr>
          <w:rFonts w:eastAsia="Times New Roman" w:ascii="Garamond" w:hAnsi="Garamond"/>
          <w:b/>
          <w:sz w:val="28"/>
          <w:szCs w:val="24"/>
          <w:lang w:val="fr-CA" w:eastAsia="el-GR"/>
        </w:rPr>
        <w:t>Bonifacio</w:t>
      </w:r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. </w:t>
      </w:r>
      <w:bookmarkStart w:id="0" w:name="_GoBack"/>
      <w:bookmarkEnd w:id="0"/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C'est un espace protégé, institué en </w:t>
      </w:r>
      <w:r>
        <w:rPr>
          <w:rFonts w:eastAsia="Times New Roman" w:ascii="Garamond" w:hAnsi="Garamond"/>
          <w:b/>
          <w:sz w:val="28"/>
          <w:szCs w:val="24"/>
          <w:lang w:val="fr-CA" w:eastAsia="el-GR"/>
        </w:rPr>
        <w:t>réserve naturelle</w:t>
      </w:r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 depuis 1982. </w:t>
      </w:r>
      <w:r>
        <w:rPr>
          <w:rFonts w:eastAsia="Times New Roman" w:ascii="Garamond" w:hAnsi="Garamond"/>
          <w:b/>
          <w:sz w:val="28"/>
          <w:szCs w:val="24"/>
          <w:lang w:val="fr-CA" w:eastAsia="el-GR"/>
        </w:rPr>
        <w:t>L'écueil,</w:t>
      </w:r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 au sud des îles est le point </w:t>
      </w:r>
      <w:r>
        <w:rPr>
          <w:rFonts w:eastAsia="Times New Roman" w:ascii="Garamond" w:hAnsi="Garamond"/>
          <w:b/>
          <w:sz w:val="28"/>
          <w:szCs w:val="24"/>
          <w:lang w:val="fr-CA" w:eastAsia="el-GR"/>
        </w:rPr>
        <w:t>le plus au</w:t>
      </w:r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 sud de la </w:t>
      </w:r>
      <w:r>
        <w:rPr>
          <w:rFonts w:eastAsia="Times New Roman" w:ascii="Garamond" w:hAnsi="Garamond"/>
          <w:b/>
          <w:sz w:val="28"/>
          <w:szCs w:val="24"/>
          <w:lang w:val="fr-CA" w:eastAsia="el-GR"/>
        </w:rPr>
        <w:t>France métropolitaine</w:t>
      </w:r>
      <w:r>
        <w:rPr>
          <w:rFonts w:eastAsia="Times New Roman" w:ascii="Garamond" w:hAnsi="Garamond"/>
          <w:sz w:val="28"/>
          <w:szCs w:val="24"/>
          <w:lang w:val="fr-CA" w:eastAsia="el-GR"/>
        </w:rPr>
        <w:t>.</w:t>
      </w:r>
    </w:p>
    <w:p>
      <w:pPr>
        <w:pStyle w:val="Normal"/>
        <w:ind w:hanging="0"/>
        <w:rPr>
          <w:rFonts w:ascii="Garamond" w:hAnsi="Garamond" w:eastAsia="Times New Roman"/>
          <w:sz w:val="28"/>
          <w:szCs w:val="24"/>
          <w:lang w:val="fr-CA" w:eastAsia="el-GR"/>
        </w:rPr>
      </w:pPr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Elles </w:t>
      </w:r>
      <w:r>
        <w:rPr>
          <w:rFonts w:eastAsia="Times New Roman" w:ascii="Garamond" w:hAnsi="Garamond"/>
          <w:b/>
          <w:sz w:val="28"/>
          <w:szCs w:val="24"/>
          <w:lang w:val="fr-CA" w:eastAsia="el-GR"/>
        </w:rPr>
        <w:t>furent</w:t>
      </w:r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 en 1855 </w:t>
      </w:r>
      <w:r>
        <w:rPr>
          <w:rFonts w:eastAsia="Times New Roman" w:ascii="Garamond" w:hAnsi="Garamond"/>
          <w:b/>
          <w:sz w:val="28"/>
          <w:szCs w:val="24"/>
          <w:lang w:val="fr-CA" w:eastAsia="el-GR"/>
        </w:rPr>
        <w:t>le théâtre du</w:t>
      </w:r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 naufrage de la Sémillante, frégate partie de Toulon en direction de la </w:t>
      </w:r>
      <w:r>
        <w:rPr>
          <w:rFonts w:eastAsia="Times New Roman" w:ascii="Garamond" w:hAnsi="Garamond"/>
          <w:b/>
          <w:sz w:val="28"/>
          <w:szCs w:val="24"/>
          <w:lang w:val="fr-CA" w:eastAsia="el-GR"/>
        </w:rPr>
        <w:t>Crimée</w:t>
      </w:r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. La route la plus directe pour se rendre de Toulon en mer Égée </w:t>
      </w:r>
      <w:r>
        <w:rPr>
          <w:rFonts w:eastAsia="Times New Roman" w:ascii="Garamond" w:hAnsi="Garamond"/>
          <w:b/>
          <w:sz w:val="28"/>
          <w:szCs w:val="24"/>
          <w:lang w:val="fr-CA" w:eastAsia="el-GR"/>
        </w:rPr>
        <w:t>passe par le sud</w:t>
      </w:r>
      <w:r>
        <w:rPr>
          <w:rFonts w:eastAsia="Times New Roman" w:ascii="Garamond" w:hAnsi="Garamond"/>
          <w:sz w:val="28"/>
          <w:szCs w:val="24"/>
          <w:lang w:val="fr-CA" w:eastAsia="el-GR"/>
        </w:rPr>
        <w:t xml:space="preserve"> Sardaigne.</w:t>
      </w:r>
    </w:p>
    <w:p>
      <w:pPr>
        <w:pStyle w:val="Normal"/>
        <w:ind w:hanging="0"/>
        <w:rPr>
          <w:rFonts w:ascii="Garamond" w:hAnsi="Garamond" w:eastAsia="Times New Roman"/>
          <w:sz w:val="28"/>
          <w:szCs w:val="24"/>
          <w:lang w:val="fr-CA" w:eastAsia="el-GR"/>
        </w:rPr>
      </w:pPr>
      <w:r>
        <w:rPr>
          <w:rFonts w:eastAsia="Times New Roman" w:ascii="Garamond" w:hAnsi="Garamond"/>
          <w:sz w:val="28"/>
          <w:szCs w:val="24"/>
          <w:lang w:val="fr-CA" w:eastAsia="el-GR"/>
        </w:rPr>
      </w:r>
    </w:p>
    <w:p>
      <w:pPr>
        <w:pStyle w:val="Normal"/>
        <w:ind w:hanging="0"/>
        <w:rPr>
          <w:rFonts w:ascii="Garamond" w:hAnsi="Garamond" w:eastAsia="Times New Roman"/>
          <w:sz w:val="28"/>
          <w:szCs w:val="24"/>
          <w:lang w:val="fr-CA" w:eastAsia="el-GR"/>
        </w:rPr>
      </w:pPr>
      <w:r>
        <w:rPr>
          <w:rFonts w:eastAsia="Times New Roman" w:ascii="Garamond" w:hAnsi="Garamond"/>
          <w:sz w:val="28"/>
          <w:szCs w:val="24"/>
          <w:lang w:val="fr-CA" w:eastAsia="el-GR"/>
        </w:rPr>
      </w:r>
    </w:p>
    <w:p>
      <w:pPr>
        <w:pStyle w:val="Normal"/>
        <w:ind w:hanging="0"/>
        <w:rPr>
          <w:rFonts w:ascii="Garamond" w:hAnsi="Garamond" w:eastAsia="Times New Roman"/>
          <w:sz w:val="28"/>
          <w:szCs w:val="24"/>
          <w:lang w:val="fr-CA" w:eastAsia="el-GR"/>
        </w:rPr>
      </w:pPr>
      <w:r>
        <w:rPr>
          <w:rFonts w:eastAsia="Times New Roman" w:ascii="Garamond" w:hAnsi="Garamond"/>
          <w:sz w:val="28"/>
          <w:szCs w:val="24"/>
          <w:lang w:val="fr-CA" w:eastAsia="el-GR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-906145</wp:posOffset>
                </wp:positionH>
                <wp:positionV relativeFrom="paragraph">
                  <wp:posOffset>984250</wp:posOffset>
                </wp:positionV>
                <wp:extent cx="756920" cy="264795"/>
                <wp:effectExtent l="0" t="0" r="0" b="0"/>
                <wp:wrapNone/>
                <wp:docPr id="1" name="Σχήμα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60" cy="264240"/>
                        </a:xfrm>
                        <a:prstGeom prst="rect">
                          <a:avLst/>
                        </a:prstGeom>
                        <a:solidFill>
                          <a:srgbClr val="ffffd7"/>
                        </a:solidFill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overflowPunct w:val="false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Garamond" w:ascii="Garamond" w:hAnsi="Garamond"/>
                                <w:bCs/>
                                <w:color w:val="000000"/>
                                <w:sz w:val="24"/>
                                <w:szCs w:val="28"/>
                                <w:lang w:val="fr-CA" w:eastAsia="el-GR"/>
                              </w:rPr>
                              <w:t>Iles Lavezzi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Σχήμα3" path="m0,0l-2147483645,0l-2147483645,-2147483646l0,-2147483646xe" fillcolor="#ffffd7" stroked="t" o:allowincell="f" style="position:absolute;margin-left:-71.35pt;margin-top:77.5pt;width:59.5pt;height:20.75pt;mso-wrap-style:square;v-text-anchor:top">
                <v:fill o:detectmouseclick="t" type="solid" color2="#000028"/>
                <v:stroke color="red" joinstyle="round" endcap="flat"/>
                <v:textbox>
                  <w:txbxContent>
                    <w:p>
                      <w:pPr>
                        <w:pStyle w:val="Style16"/>
                        <w:overflowPunct w:val="false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Garamond" w:ascii="Garamond" w:hAnsi="Garamond"/>
                          <w:bCs/>
                          <w:color w:val="000000"/>
                          <w:sz w:val="24"/>
                          <w:szCs w:val="28"/>
                          <w:lang w:val="fr-CA" w:eastAsia="el-GR"/>
                        </w:rPr>
                        <w:t>Iles Lavezzi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904875</wp:posOffset>
                </wp:positionH>
                <wp:positionV relativeFrom="paragraph">
                  <wp:posOffset>984885</wp:posOffset>
                </wp:positionV>
                <wp:extent cx="1320800" cy="361950"/>
                <wp:effectExtent l="0" t="0" r="0" b="0"/>
                <wp:wrapNone/>
                <wp:docPr id="3" name="Σχήμα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120" cy="36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62" h="220">
                              <a:moveTo>
                                <a:pt x="0" y="54"/>
                              </a:moveTo>
                              <a:lnTo>
                                <a:pt x="1170" y="54"/>
                              </a:lnTo>
                              <a:lnTo>
                                <a:pt x="1170" y="0"/>
                              </a:lnTo>
                              <a:lnTo>
                                <a:pt x="1561" y="109"/>
                              </a:lnTo>
                              <a:lnTo>
                                <a:pt x="1170" y="219"/>
                              </a:lnTo>
                              <a:lnTo>
                                <a:pt x="1170" y="164"/>
                              </a:lnTo>
                              <a:lnTo>
                                <a:pt x="0" y="164"/>
                              </a:lnTo>
                              <a:lnTo>
                                <a:pt x="0" y="54"/>
                              </a:lnTo>
                            </a:path>
                          </a:pathLst>
                        </a:custGeom>
                        <a:solidFill>
                          <a:srgbClr val="ffffd7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29845</wp:posOffset>
            </wp:positionH>
            <wp:positionV relativeFrom="paragraph">
              <wp:posOffset>130810</wp:posOffset>
            </wp:positionV>
            <wp:extent cx="5894070" cy="3300095"/>
            <wp:effectExtent l="0" t="0" r="0" b="0"/>
            <wp:wrapSquare wrapText="largest"/>
            <wp:docPr id="4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070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hanging="0"/>
        <w:jc w:val="left"/>
        <w:rPr>
          <w:lang w:val="fr-CA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573405</wp:posOffset>
                </wp:positionH>
                <wp:positionV relativeFrom="paragraph">
                  <wp:posOffset>691515</wp:posOffset>
                </wp:positionV>
                <wp:extent cx="475615" cy="191135"/>
                <wp:effectExtent l="0" t="0" r="0" b="0"/>
                <wp:wrapNone/>
                <wp:docPr id="5" name="Σχήμα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overflowPunct w:val="false"/>
                              <w:ind w:hanging="0"/>
                              <w:jc w:val="left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Σχήμα2" path="m0,0l-2147483645,0l-2147483645,-2147483646l0,-2147483646xe" stroked="f" o:allowincell="f" style="position:absolute;margin-left:45.15pt;margin-top:54.45pt;width:37.35pt;height:14.9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overflowPunct w:val="false"/>
                        <w:ind w:hanging="0"/>
                        <w:jc w:val="left"/>
                        <w:rPr>
                          <w:rFonts w:ascii="Times New Roman" w:hAnsi="Times New Roman" w:eastAsia="Times New Roman"/>
                          <w:sz w:val="20"/>
                          <w:szCs w:val="20"/>
                          <w:lang w:eastAsia="el-GR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ascii="Times New Roman" w:hAnsi="Times New Roman"/>
          <w:sz w:val="24"/>
          <w:szCs w:val="24"/>
          <w:lang w:val="fr-CA" w:eastAsia="el-GR"/>
        </w:rPr>
        <w:b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Calibri">
    <w:charset w:val="a1"/>
    <w:family w:val="roman"/>
    <w:pitch w:val="variable"/>
  </w:font>
  <w:font w:name="Cambria">
    <w:charset w:val="a1"/>
    <w:family w:val="swiss"/>
    <w:pitch w:val="variable"/>
  </w:font>
  <w:font w:name="Cambria">
    <w:charset w:val="a1"/>
    <w:family w:val="roman"/>
    <w:pitch w:val="variable"/>
  </w:font>
  <w:font w:name="Wingdings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Garamond"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340"/>
      <w:jc w:val="both"/>
    </w:pPr>
    <w:rPr>
      <w:rFonts w:ascii="Calibri" w:hAnsi="Calibri" w:eastAsia="Calibri" w:cs="Times New Roman"/>
      <w:color w:val="auto"/>
      <w:kern w:val="0"/>
      <w:sz w:val="22"/>
      <w:szCs w:val="22"/>
      <w:lang w:val="el-GR" w:eastAsia="zh-CN" w:bidi="ar-SA"/>
    </w:rPr>
  </w:style>
  <w:style w:type="paragraph" w:styleId="1">
    <w:name w:val="Heading 1"/>
    <w:basedOn w:val="Style15"/>
    <w:next w:val="Style15"/>
    <w:qFormat/>
    <w:pPr>
      <w:keepNext w:val="true"/>
      <w:keepLines/>
      <w:numPr>
        <w:ilvl w:val="0"/>
        <w:numId w:val="1"/>
      </w:numPr>
      <w:outlineLvl w:val="0"/>
    </w:pPr>
    <w:rPr>
      <w:rFonts w:ascii="Cambria" w:hAnsi="Cambria" w:eastAsia="Times New Roman"/>
      <w:bCs/>
      <w:sz w:val="32"/>
      <w:szCs w:val="28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spacing w:before="240" w:after="60"/>
      <w:jc w:val="left"/>
    </w:pPr>
    <w:rPr>
      <w:rFonts w:ascii="Cambria" w:hAnsi="Cambria" w:eastAsia="Times New Roman"/>
      <w:b/>
      <w:bCs/>
      <w:iCs/>
      <w:sz w:val="28"/>
      <w:szCs w:val="28"/>
      <w:lang w:bidi="en-US"/>
    </w:rPr>
  </w:style>
  <w:style w:type="paragraph" w:styleId="3">
    <w:name w:val="Heading 3"/>
    <w:basedOn w:val="Normal"/>
    <w:next w:val="Normal"/>
    <w:qFormat/>
    <w:pPr>
      <w:keepNext w:val="true"/>
      <w:numPr>
        <w:ilvl w:val="0"/>
        <w:numId w:val="2"/>
      </w:numPr>
      <w:spacing w:before="240" w:after="60"/>
      <w:jc w:val="left"/>
    </w:pPr>
    <w:rPr>
      <w:rFonts w:ascii="Cambria" w:hAnsi="Cambria" w:eastAsia="Times New Roman"/>
      <w:b/>
      <w:bCs/>
      <w:sz w:val="26"/>
      <w:szCs w:val="26"/>
      <w:lang w:val="en-US" w:bidi="en-US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2"/>
      </w:numPr>
      <w:spacing w:before="240" w:after="60"/>
      <w:jc w:val="left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11" w:customStyle="1">
    <w:name w:val="Προεπιλεγμένη γραμματοσειρά1"/>
    <w:qFormat/>
    <w:rPr/>
  </w:style>
  <w:style w:type="character" w:styleId="1Char" w:customStyle="1">
    <w:name w:val="Επικεφαλίδα 1 Char"/>
    <w:qFormat/>
    <w:rPr>
      <w:rFonts w:ascii="Cambria" w:hAnsi="Cambria" w:eastAsia="Times New Roman" w:cs="Times New Roman"/>
      <w:b/>
      <w:bCs/>
      <w:sz w:val="32"/>
      <w:szCs w:val="28"/>
    </w:rPr>
  </w:style>
  <w:style w:type="character" w:styleId="2Char" w:customStyle="1">
    <w:name w:val="Επικεφαλίδα 2 Char"/>
    <w:qFormat/>
    <w:rPr>
      <w:rFonts w:ascii="Cambria" w:hAnsi="Cambria" w:eastAsia="Times New Roman" w:cs="Times New Roman"/>
      <w:b/>
      <w:bCs/>
      <w:iCs/>
      <w:sz w:val="28"/>
      <w:szCs w:val="28"/>
      <w:lang w:bidi="en-US"/>
    </w:rPr>
  </w:style>
  <w:style w:type="character" w:styleId="3Char" w:customStyle="1">
    <w:name w:val="Επικεφαλίδα 3 Char"/>
    <w:qFormat/>
    <w:rPr>
      <w:rFonts w:ascii="Cambria" w:hAnsi="Cambria" w:eastAsia="Times New Roman" w:cs="Times New Roman"/>
      <w:b/>
      <w:bCs/>
      <w:sz w:val="26"/>
      <w:szCs w:val="26"/>
      <w:lang w:val="en-US" w:bidi="en-US"/>
    </w:rPr>
  </w:style>
  <w:style w:type="character" w:styleId="4Char" w:customStyle="1">
    <w:name w:val="Επικεφαλίδα 4 Char"/>
    <w:qFormat/>
    <w:rPr>
      <w:b/>
      <w:bCs/>
      <w:sz w:val="28"/>
      <w:szCs w:val="28"/>
    </w:rPr>
  </w:style>
  <w:style w:type="character" w:styleId="Char" w:customStyle="1">
    <w:name w:val="Κείμενο πλαισίου Char"/>
    <w:qFormat/>
    <w:rPr>
      <w:rFonts w:ascii="Tahoma" w:hAnsi="Tahoma" w:cs="Tahoma"/>
      <w:sz w:val="16"/>
      <w:szCs w:val="16"/>
    </w:rPr>
  </w:style>
  <w:style w:type="paragraph" w:styleId="Style10" w:customStyle="1">
    <w:name w:val="Επικεφαλίδα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88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 w:customStyle="1">
    <w:name w:val="Ευρετήριο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 w:customStyle="1">
    <w:name w:val="Μιχάλης"/>
    <w:basedOn w:val="Normal"/>
    <w:qFormat/>
    <w:pPr>
      <w:ind w:hanging="0"/>
    </w:pPr>
    <w:rPr>
      <w:b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LibreOffice/7.2.1.2$Windows_X86_64 LibreOffice_project/87b77fad49947c1441b67c559c339af8f3517e22</Application>
  <AppVersion>15.0000</AppVersion>
  <Pages>1</Pages>
  <Words>100</Words>
  <Characters>474</Characters>
  <CharactersWithSpaces>572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2018-10-15T05:38:00Z</dcterms:created>
  <dc:creator>Πολίτης</dc:creator>
  <dc:description/>
  <dc:language>el-GR</dc:language>
  <cp:lastModifiedBy>Μιχάλης Πολίτης</cp:lastModifiedBy>
  <cp:lastPrinted>2021-10-17T21:36:38Z</cp:lastPrinted>
  <dcterms:modified xsi:type="dcterms:W3CDTF">2021-10-17T21:37:54Z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