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F2F77" w14:textId="77777777" w:rsidR="00C41FF1" w:rsidRPr="009B6994" w:rsidRDefault="00000000" w:rsidP="009B6994">
      <w:pPr>
        <w:spacing w:after="0" w:line="240" w:lineRule="auto"/>
        <w:jc w:val="center"/>
        <w:rPr>
          <w:rFonts w:ascii="Aptos" w:hAnsi="Aptos"/>
          <w:b/>
          <w:sz w:val="24"/>
          <w:szCs w:val="24"/>
        </w:rPr>
      </w:pPr>
      <w:r w:rsidRPr="009B6994">
        <w:rPr>
          <w:rFonts w:ascii="Aptos" w:hAnsi="Aptos"/>
          <w:b/>
          <w:sz w:val="24"/>
          <w:szCs w:val="24"/>
        </w:rPr>
        <w:t>Module V (Week 1) In</w:t>
      </w:r>
      <w:r w:rsidRPr="009B6994">
        <w:rPr>
          <w:rFonts w:ascii="Cambria Math" w:hAnsi="Cambria Math" w:cs="Cambria Math"/>
          <w:b/>
          <w:sz w:val="24"/>
          <w:szCs w:val="24"/>
        </w:rPr>
        <w:t>‑</w:t>
      </w:r>
      <w:r w:rsidRPr="009B6994">
        <w:rPr>
          <w:rFonts w:ascii="Aptos" w:hAnsi="Aptos"/>
          <w:b/>
          <w:sz w:val="24"/>
          <w:szCs w:val="24"/>
        </w:rPr>
        <w:t xml:space="preserve">Class Practicum </w:t>
      </w:r>
    </w:p>
    <w:p w14:paraId="21622218" w14:textId="77777777" w:rsidR="009B6994" w:rsidRDefault="009B6994" w:rsidP="009B6994">
      <w:pPr>
        <w:spacing w:after="0" w:line="240" w:lineRule="auto"/>
        <w:jc w:val="center"/>
        <w:rPr>
          <w:rFonts w:ascii="Aptos" w:hAnsi="Aptos"/>
          <w:b/>
          <w:color w:val="C00000"/>
          <w:sz w:val="24"/>
          <w:szCs w:val="24"/>
        </w:rPr>
      </w:pPr>
    </w:p>
    <w:p w14:paraId="0C99A3E5" w14:textId="14BFE934" w:rsidR="00C41FF1" w:rsidRPr="00613725" w:rsidRDefault="00000000" w:rsidP="009B6994">
      <w:pPr>
        <w:spacing w:after="0" w:line="240" w:lineRule="auto"/>
        <w:jc w:val="center"/>
        <w:rPr>
          <w:rFonts w:ascii="Aptos" w:hAnsi="Aptos"/>
          <w:b/>
          <w:color w:val="C00000"/>
          <w:sz w:val="32"/>
          <w:szCs w:val="32"/>
        </w:rPr>
      </w:pPr>
      <w:r w:rsidRPr="00613725">
        <w:rPr>
          <w:rFonts w:ascii="Aptos" w:hAnsi="Aptos"/>
          <w:b/>
          <w:color w:val="C00000"/>
          <w:sz w:val="32"/>
          <w:szCs w:val="32"/>
        </w:rPr>
        <w:t xml:space="preserve">Diagnose Before You Negotiate </w:t>
      </w:r>
    </w:p>
    <w:p w14:paraId="79E3522A" w14:textId="57B14B13" w:rsidR="004A2AA6" w:rsidRPr="009B6994" w:rsidRDefault="00000000" w:rsidP="009B6994">
      <w:pPr>
        <w:spacing w:after="0" w:line="240" w:lineRule="auto"/>
        <w:jc w:val="center"/>
        <w:rPr>
          <w:rFonts w:ascii="Aptos" w:hAnsi="Aptos"/>
          <w:bCs/>
          <w:i/>
          <w:iCs/>
          <w:sz w:val="24"/>
          <w:szCs w:val="24"/>
        </w:rPr>
      </w:pPr>
      <w:r w:rsidRPr="009B6994">
        <w:rPr>
          <w:rFonts w:ascii="Aptos" w:hAnsi="Aptos"/>
          <w:bCs/>
          <w:i/>
          <w:iCs/>
          <w:sz w:val="24"/>
          <w:szCs w:val="24"/>
        </w:rPr>
        <w:t>(Piraeus–Perama Waterfront Case)</w:t>
      </w:r>
    </w:p>
    <w:p w14:paraId="20D40308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0085016F" w14:textId="760BD8F4" w:rsidR="004A2AA6" w:rsidRPr="00613725" w:rsidRDefault="00C41FF1" w:rsidP="009B6994">
      <w:pPr>
        <w:spacing w:after="0" w:line="240" w:lineRule="auto"/>
        <w:rPr>
          <w:rFonts w:ascii="Aptos" w:hAnsi="Aptos"/>
          <w:color w:val="C00000"/>
          <w:sz w:val="24"/>
          <w:szCs w:val="24"/>
        </w:rPr>
      </w:pPr>
      <w:r w:rsidRPr="00613725">
        <w:rPr>
          <w:rFonts w:ascii="Aptos" w:hAnsi="Aptos"/>
          <w:b/>
          <w:color w:val="C00000"/>
          <w:sz w:val="24"/>
          <w:szCs w:val="24"/>
        </w:rPr>
        <w:t>The first step to any negotiation is the diagnosis of the conflict. This is our task today.</w:t>
      </w:r>
      <w:r w:rsidR="00000000" w:rsidRPr="00613725">
        <w:rPr>
          <w:rFonts w:ascii="Aptos" w:hAnsi="Aptos"/>
          <w:color w:val="C00000"/>
          <w:sz w:val="24"/>
          <w:szCs w:val="24"/>
        </w:rPr>
        <w:t xml:space="preserve"> </w:t>
      </w:r>
    </w:p>
    <w:p w14:paraId="1AD09DE7" w14:textId="77777777" w:rsidR="00613725" w:rsidRDefault="00613725" w:rsidP="00FA0183">
      <w:pPr>
        <w:spacing w:after="0" w:line="240" w:lineRule="auto"/>
        <w:rPr>
          <w:rFonts w:ascii="Aptos" w:hAnsi="Aptos"/>
          <w:b/>
          <w:color w:val="C00000"/>
          <w:sz w:val="28"/>
          <w:szCs w:val="28"/>
        </w:rPr>
      </w:pPr>
    </w:p>
    <w:p w14:paraId="3FB4F3FF" w14:textId="7F7B8ACD" w:rsidR="00FA0183" w:rsidRDefault="00FA0183" w:rsidP="00FA0183">
      <w:pPr>
        <w:spacing w:after="0" w:line="240" w:lineRule="auto"/>
        <w:rPr>
          <w:rStyle w:val="s2"/>
          <w:rFonts w:ascii="Aptos" w:hAnsi="Aptos"/>
          <w:b/>
          <w:bCs/>
          <w:color w:val="C00000"/>
          <w:sz w:val="28"/>
          <w:szCs w:val="28"/>
        </w:rPr>
      </w:pPr>
      <w:r w:rsidRPr="00FA0183">
        <w:rPr>
          <w:rFonts w:ascii="Aptos" w:hAnsi="Aptos"/>
          <w:b/>
          <w:color w:val="C00000"/>
          <w:sz w:val="28"/>
          <w:szCs w:val="28"/>
        </w:rPr>
        <w:t xml:space="preserve">Use “Burra Charter” logic: </w:t>
      </w:r>
      <w:r w:rsidRPr="00FA0183">
        <w:rPr>
          <w:rFonts w:ascii="Aptos" w:hAnsi="Aptos"/>
          <w:b/>
          <w:bCs/>
          <w:color w:val="C00000"/>
          <w:sz w:val="28"/>
          <w:szCs w:val="28"/>
        </w:rPr>
        <w:t>M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 xml:space="preserve">anage the 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“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fabric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”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 xml:space="preserve"> and setting in ways that retain 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“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significance</w:t>
      </w:r>
      <w:r w:rsidRPr="00FA0183">
        <w:rPr>
          <w:rStyle w:val="s2"/>
          <w:rFonts w:ascii="Aptos" w:hAnsi="Aptos"/>
          <w:b/>
          <w:bCs/>
          <w:color w:val="C00000"/>
          <w:sz w:val="28"/>
          <w:szCs w:val="28"/>
        </w:rPr>
        <w:t>.”</w:t>
      </w:r>
    </w:p>
    <w:p w14:paraId="4FBDF4E3" w14:textId="77777777" w:rsidR="00FA0183" w:rsidRPr="00FA0183" w:rsidRDefault="00FA0183" w:rsidP="00FA0183">
      <w:pPr>
        <w:spacing w:after="0" w:line="240" w:lineRule="auto"/>
        <w:rPr>
          <w:rFonts w:ascii="Aptos" w:hAnsi="Aptos"/>
          <w:b/>
          <w:color w:val="C00000"/>
          <w:sz w:val="10"/>
          <w:szCs w:val="10"/>
        </w:rPr>
      </w:pPr>
    </w:p>
    <w:p w14:paraId="304CD046" w14:textId="493D1546" w:rsidR="00FA0183" w:rsidRPr="00FA0183" w:rsidRDefault="00FA0183" w:rsidP="00FA0183">
      <w:pPr>
        <w:pStyle w:val="p1"/>
        <w:numPr>
          <w:ilvl w:val="0"/>
          <w:numId w:val="13"/>
        </w:numPr>
        <w:spacing w:before="0" w:beforeAutospacing="0" w:after="0" w:afterAutospacing="0"/>
        <w:rPr>
          <w:rFonts w:ascii="Aptos" w:hAnsi="Aptos"/>
        </w:rPr>
      </w:pPr>
      <w:r w:rsidRPr="00FA0183">
        <w:rPr>
          <w:rStyle w:val="s1"/>
          <w:rFonts w:ascii="Aptos" w:hAnsi="Aptos"/>
          <w:b/>
          <w:bCs/>
        </w:rPr>
        <w:t>“Cultural significance”</w:t>
      </w:r>
      <w:r w:rsidRPr="00FA0183">
        <w:rPr>
          <w:rFonts w:ascii="Aptos" w:hAnsi="Aptos"/>
        </w:rPr>
        <w:t xml:space="preserve"> is defined </w:t>
      </w:r>
      <w:r w:rsidRPr="00FA0183">
        <w:rPr>
          <w:rFonts w:ascii="Aptos" w:hAnsi="Aptos"/>
        </w:rPr>
        <w:t>in the assigned reading</w:t>
      </w:r>
      <w:r w:rsidRPr="00FA0183">
        <w:rPr>
          <w:rFonts w:ascii="Aptos" w:hAnsi="Aptos"/>
        </w:rPr>
        <w:t xml:space="preserve"> as </w:t>
      </w:r>
      <w:r w:rsidRPr="00FA0183">
        <w:rPr>
          <w:rFonts w:ascii="Aptos" w:hAnsi="Aptos"/>
          <w:i/>
          <w:iCs/>
        </w:rPr>
        <w:t>aesthetic, historic, scientific, social, or spiritual value for past, present, or future generations</w:t>
      </w:r>
      <w:r w:rsidRPr="00FA0183">
        <w:rPr>
          <w:rFonts w:ascii="Aptos" w:hAnsi="Aptos"/>
        </w:rPr>
        <w:t>.</w:t>
      </w:r>
      <w:r w:rsidRPr="00FA0183">
        <w:rPr>
          <w:rStyle w:val="apple-converted-space"/>
          <w:rFonts w:ascii="Aptos" w:hAnsi="Aptos"/>
        </w:rPr>
        <w:t xml:space="preserve">  </w:t>
      </w:r>
    </w:p>
    <w:p w14:paraId="57D9AA5A" w14:textId="77777777" w:rsidR="00FA0183" w:rsidRPr="00FA0183" w:rsidRDefault="00FA0183" w:rsidP="00FA0183">
      <w:pPr>
        <w:pStyle w:val="p1"/>
        <w:numPr>
          <w:ilvl w:val="0"/>
          <w:numId w:val="13"/>
        </w:numPr>
        <w:spacing w:before="120" w:beforeAutospacing="0" w:after="0" w:afterAutospacing="0"/>
        <w:rPr>
          <w:rFonts w:ascii="Aptos" w:hAnsi="Aptos"/>
        </w:rPr>
      </w:pPr>
      <w:r w:rsidRPr="00FA0183">
        <w:rPr>
          <w:rStyle w:val="s1"/>
          <w:rFonts w:ascii="Aptos" w:hAnsi="Aptos"/>
          <w:b/>
          <w:bCs/>
        </w:rPr>
        <w:t>“Fabric”</w:t>
      </w:r>
      <w:r w:rsidRPr="00FA0183">
        <w:rPr>
          <w:rFonts w:ascii="Aptos" w:hAnsi="Aptos"/>
        </w:rPr>
        <w:t xml:space="preserve"> is defined as </w:t>
      </w:r>
      <w:r w:rsidRPr="00FA0183">
        <w:rPr>
          <w:rFonts w:ascii="Aptos" w:hAnsi="Aptos"/>
          <w:i/>
          <w:iCs/>
        </w:rPr>
        <w:t>all the physical materials of the place</w:t>
      </w:r>
      <w:r w:rsidRPr="00FA0183">
        <w:rPr>
          <w:rFonts w:ascii="Aptos" w:hAnsi="Aptos"/>
        </w:rPr>
        <w:t xml:space="preserve">, and (crucially) cultural significance is described as being </w:t>
      </w:r>
      <w:r w:rsidRPr="00FA0183">
        <w:rPr>
          <w:rFonts w:ascii="Aptos" w:hAnsi="Aptos"/>
          <w:i/>
          <w:iCs/>
        </w:rPr>
        <w:t>embodied in the place itself—its fabric and setting</w:t>
      </w:r>
      <w:r w:rsidRPr="00FA0183">
        <w:rPr>
          <w:rFonts w:ascii="Aptos" w:hAnsi="Aptos"/>
        </w:rPr>
        <w:t>.</w:t>
      </w:r>
      <w:r w:rsidRPr="00FA0183">
        <w:rPr>
          <w:rStyle w:val="apple-converted-space"/>
          <w:rFonts w:ascii="Aptos" w:hAnsi="Aptos"/>
        </w:rPr>
        <w:t xml:space="preserve">  </w:t>
      </w:r>
    </w:p>
    <w:p w14:paraId="4449B782" w14:textId="77777777" w:rsidR="00FA0183" w:rsidRDefault="00FA0183" w:rsidP="009B6994">
      <w:pPr>
        <w:spacing w:after="0" w:line="240" w:lineRule="auto"/>
        <w:rPr>
          <w:rFonts w:ascii="Aptos" w:hAnsi="Aptos"/>
          <w:b/>
          <w:color w:val="C00000"/>
          <w:sz w:val="28"/>
          <w:szCs w:val="28"/>
        </w:rPr>
      </w:pPr>
    </w:p>
    <w:p w14:paraId="26492EEB" w14:textId="3887941C" w:rsidR="004A2AA6" w:rsidRPr="00613725" w:rsidRDefault="00000000" w:rsidP="009B6994">
      <w:pPr>
        <w:spacing w:after="0" w:line="240" w:lineRule="auto"/>
        <w:rPr>
          <w:rFonts w:ascii="Aptos" w:hAnsi="Aptos"/>
          <w:b/>
          <w:color w:val="C00000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 xml:space="preserve">Case </w:t>
      </w:r>
      <w:r w:rsidR="00C41FF1" w:rsidRPr="00613725">
        <w:rPr>
          <w:rFonts w:ascii="Aptos" w:hAnsi="Aptos"/>
          <w:b/>
          <w:color w:val="C00000"/>
          <w:sz w:val="28"/>
          <w:szCs w:val="28"/>
        </w:rPr>
        <w:t>study summary</w:t>
      </w:r>
    </w:p>
    <w:p w14:paraId="601F507C" w14:textId="77777777" w:rsidR="009B6994" w:rsidRPr="009B6994" w:rsidRDefault="009B699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5B66EC1D" w14:textId="77777777" w:rsidR="00C41FF1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 xml:space="preserve">The Port of Piraeus’ rapid transformation under </w:t>
      </w:r>
      <w:r w:rsidR="00C41FF1" w:rsidRPr="009B6994">
        <w:rPr>
          <w:rFonts w:ascii="Aptos" w:hAnsi="Aptos"/>
          <w:sz w:val="24"/>
          <w:szCs w:val="24"/>
        </w:rPr>
        <w:t xml:space="preserve">international logistics and port development corporation </w:t>
      </w:r>
      <w:r w:rsidRPr="009B6994">
        <w:rPr>
          <w:rFonts w:ascii="Aptos" w:hAnsi="Aptos"/>
          <w:sz w:val="24"/>
          <w:szCs w:val="24"/>
        </w:rPr>
        <w:t>COSCO/PPA has intensified long</w:t>
      </w:r>
      <w:r w:rsidRPr="009B6994">
        <w:rPr>
          <w:rFonts w:ascii="Cambria Math" w:hAnsi="Cambria Math" w:cs="Cambria Math"/>
          <w:sz w:val="24"/>
          <w:szCs w:val="24"/>
        </w:rPr>
        <w:t>‑</w:t>
      </w:r>
      <w:r w:rsidRPr="009B6994">
        <w:rPr>
          <w:rFonts w:ascii="Aptos" w:hAnsi="Aptos"/>
          <w:sz w:val="24"/>
          <w:szCs w:val="24"/>
        </w:rPr>
        <w:t xml:space="preserve">standing tensions along the wider Piraeus–Perama–Keratsini–Drapetsona waterfront. </w:t>
      </w:r>
    </w:p>
    <w:p w14:paraId="6673AF89" w14:textId="77777777" w:rsidR="009B6994" w:rsidRPr="009B6994" w:rsidRDefault="009B699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5C3DA486" w14:textId="11008124" w:rsidR="00C41FF1" w:rsidRPr="009B6994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A state</w:t>
      </w:r>
      <w:r w:rsidRPr="009B6994">
        <w:rPr>
          <w:rFonts w:ascii="Cambria Math" w:hAnsi="Cambria Math" w:cs="Cambria Math"/>
          <w:sz w:val="24"/>
          <w:szCs w:val="24"/>
        </w:rPr>
        <w:t>‑</w:t>
      </w:r>
      <w:r w:rsidRPr="009B6994">
        <w:rPr>
          <w:rFonts w:ascii="Aptos" w:hAnsi="Aptos"/>
          <w:sz w:val="24"/>
          <w:szCs w:val="24"/>
        </w:rPr>
        <w:t>approved port development framework (including a Master Plan implemented through national planning instruments) expands and reorganizes port</w:t>
      </w:r>
      <w:r w:rsidRPr="009B6994">
        <w:rPr>
          <w:rFonts w:ascii="Cambria Math" w:hAnsi="Cambria Math" w:cs="Cambria Math"/>
          <w:sz w:val="24"/>
          <w:szCs w:val="24"/>
        </w:rPr>
        <w:t>‑</w:t>
      </w:r>
      <w:r w:rsidRPr="009B6994">
        <w:rPr>
          <w:rFonts w:ascii="Aptos" w:hAnsi="Aptos"/>
          <w:sz w:val="24"/>
          <w:szCs w:val="24"/>
        </w:rPr>
        <w:t xml:space="preserve">zone activities (e.g., cruise, logistics, ship repair). This </w:t>
      </w:r>
      <w:r w:rsidR="00C41FF1" w:rsidRPr="009B6994">
        <w:rPr>
          <w:rFonts w:ascii="Aptos" w:hAnsi="Aptos"/>
          <w:sz w:val="24"/>
          <w:szCs w:val="24"/>
        </w:rPr>
        <w:t xml:space="preserve">impacts </w:t>
      </w:r>
      <w:r w:rsidRPr="009B6994">
        <w:rPr>
          <w:rFonts w:ascii="Aptos" w:hAnsi="Aptos"/>
          <w:sz w:val="24"/>
          <w:szCs w:val="24"/>
        </w:rPr>
        <w:t xml:space="preserve">legally protected heritage assets (including archaeological remains </w:t>
      </w:r>
      <w:r w:rsidR="00C41FF1" w:rsidRPr="009B6994">
        <w:rPr>
          <w:rFonts w:ascii="Aptos" w:hAnsi="Aptos"/>
          <w:sz w:val="24"/>
          <w:szCs w:val="24"/>
        </w:rPr>
        <w:t xml:space="preserve">from the Classical Era </w:t>
      </w:r>
      <w:r w:rsidRPr="009B6994">
        <w:rPr>
          <w:rFonts w:ascii="Aptos" w:hAnsi="Aptos"/>
          <w:sz w:val="24"/>
          <w:szCs w:val="24"/>
        </w:rPr>
        <w:t>and standing industrial and working</w:t>
      </w:r>
      <w:r w:rsidRPr="009B6994">
        <w:rPr>
          <w:rFonts w:ascii="Cambria Math" w:hAnsi="Cambria Math" w:cs="Cambria Math"/>
          <w:sz w:val="24"/>
          <w:szCs w:val="24"/>
        </w:rPr>
        <w:t>‑</w:t>
      </w:r>
      <w:r w:rsidRPr="009B6994">
        <w:rPr>
          <w:rFonts w:ascii="Aptos" w:hAnsi="Aptos"/>
          <w:sz w:val="24"/>
          <w:szCs w:val="24"/>
        </w:rPr>
        <w:t>waterfront heritage of the area</w:t>
      </w:r>
      <w:r w:rsidR="00C41FF1" w:rsidRPr="009B6994">
        <w:rPr>
          <w:rFonts w:ascii="Aptos" w:hAnsi="Aptos"/>
          <w:sz w:val="24"/>
          <w:szCs w:val="24"/>
        </w:rPr>
        <w:t>)</w:t>
      </w:r>
      <w:r w:rsidRPr="009B6994">
        <w:rPr>
          <w:rFonts w:ascii="Aptos" w:hAnsi="Aptos"/>
          <w:sz w:val="24"/>
          <w:szCs w:val="24"/>
        </w:rPr>
        <w:t xml:space="preserve">. </w:t>
      </w:r>
    </w:p>
    <w:p w14:paraId="57BFB32A" w14:textId="77777777" w:rsidR="009B6994" w:rsidRDefault="009B699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469A19CD" w14:textId="77777777" w:rsidR="009B6994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At the same time, the expansion changes everyday conditions of life: 24</w:t>
      </w:r>
      <w:r w:rsidRPr="009B6994">
        <w:rPr>
          <w:rFonts w:ascii="Cambria Math" w:hAnsi="Cambria Math" w:cs="Cambria Math"/>
          <w:sz w:val="24"/>
          <w:szCs w:val="24"/>
        </w:rPr>
        <w:t>‑</w:t>
      </w:r>
      <w:r w:rsidRPr="009B6994">
        <w:rPr>
          <w:rFonts w:ascii="Aptos" w:hAnsi="Aptos"/>
          <w:sz w:val="24"/>
          <w:szCs w:val="24"/>
        </w:rPr>
        <w:t xml:space="preserve">hour operations, traffic and circulation pressures, noise and air impacts, employment restructuring, and disputes over public access to the waterfront. A community benefits agreement exists, but its adequacy and the legitimacy of decision processes are contested. </w:t>
      </w:r>
    </w:p>
    <w:p w14:paraId="4A1D0FFA" w14:textId="77777777" w:rsidR="009B6994" w:rsidRDefault="009B699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6099B4F7" w14:textId="20DC9A6D" w:rsidR="004A2AA6" w:rsidRPr="009B6994" w:rsidRDefault="00000000" w:rsidP="009B6994">
      <w:pPr>
        <w:spacing w:after="0" w:line="240" w:lineRule="auto"/>
        <w:rPr>
          <w:rFonts w:ascii="Aptos" w:hAnsi="Aptos"/>
          <w:color w:val="C00000"/>
          <w:sz w:val="24"/>
          <w:szCs w:val="24"/>
        </w:rPr>
      </w:pPr>
      <w:r w:rsidRPr="009B6994">
        <w:rPr>
          <w:rFonts w:ascii="Aptos" w:hAnsi="Aptos"/>
          <w:color w:val="C00000"/>
          <w:sz w:val="24"/>
          <w:szCs w:val="24"/>
        </w:rPr>
        <w:t>Your task today is not to solve the case, but to diagnose why it becomes contested in the heritage–human security nexus.</w:t>
      </w:r>
    </w:p>
    <w:p w14:paraId="5842C657" w14:textId="77777777" w:rsidR="009B6994" w:rsidRDefault="009B6994" w:rsidP="009B6994">
      <w:pPr>
        <w:spacing w:after="0" w:line="240" w:lineRule="auto"/>
        <w:rPr>
          <w:rFonts w:ascii="Aptos" w:hAnsi="Aptos"/>
          <w:b/>
          <w:sz w:val="24"/>
          <w:szCs w:val="24"/>
        </w:rPr>
      </w:pPr>
    </w:p>
    <w:p w14:paraId="01F51BF0" w14:textId="714C52BE" w:rsidR="004A2AA6" w:rsidRPr="00613725" w:rsidRDefault="00000000" w:rsidP="009B6994">
      <w:pPr>
        <w:spacing w:after="0" w:line="240" w:lineRule="auto"/>
        <w:rPr>
          <w:rFonts w:ascii="Aptos" w:hAnsi="Aptos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>Role assignment</w:t>
      </w:r>
      <w:r w:rsidRPr="00613725">
        <w:rPr>
          <w:rFonts w:ascii="Aptos" w:hAnsi="Aptos"/>
          <w:b/>
          <w:sz w:val="28"/>
          <w:szCs w:val="28"/>
        </w:rPr>
        <w:t xml:space="preserve"> </w:t>
      </w:r>
      <w:r w:rsidRPr="00613725">
        <w:rPr>
          <w:rFonts w:ascii="Aptos" w:hAnsi="Aptos"/>
          <w:bCs/>
          <w:sz w:val="28"/>
          <w:szCs w:val="28"/>
        </w:rPr>
        <w:t>(</w:t>
      </w:r>
      <w:r w:rsidR="00AB4F34" w:rsidRPr="00613725">
        <w:rPr>
          <w:rFonts w:ascii="Aptos" w:hAnsi="Aptos"/>
          <w:bCs/>
          <w:sz w:val="28"/>
          <w:szCs w:val="28"/>
        </w:rPr>
        <w:t>10</w:t>
      </w:r>
      <w:r w:rsidRPr="00613725">
        <w:rPr>
          <w:rFonts w:ascii="Aptos" w:hAnsi="Aptos"/>
          <w:bCs/>
          <w:sz w:val="28"/>
          <w:szCs w:val="28"/>
        </w:rPr>
        <w:t xml:space="preserve"> actors; </w:t>
      </w:r>
      <w:r w:rsidR="00AB4F34" w:rsidRPr="00613725">
        <w:rPr>
          <w:rFonts w:ascii="Aptos" w:hAnsi="Aptos"/>
          <w:bCs/>
          <w:sz w:val="28"/>
          <w:szCs w:val="28"/>
        </w:rPr>
        <w:t>assigned alphabetically</w:t>
      </w:r>
      <w:r w:rsidRPr="00613725">
        <w:rPr>
          <w:rFonts w:ascii="Aptos" w:hAnsi="Aptos"/>
          <w:bCs/>
          <w:sz w:val="28"/>
          <w:szCs w:val="28"/>
        </w:rPr>
        <w:t>)</w:t>
      </w:r>
    </w:p>
    <w:p w14:paraId="43D4991D" w14:textId="77777777" w:rsidR="00AB4F3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11C8175E" w14:textId="595598D2" w:rsidR="008D69BF" w:rsidRPr="00AB4F34" w:rsidRDefault="00000000" w:rsidP="00AB4F34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Mayor of Perama</w:t>
      </w:r>
      <w:r w:rsidRPr="00AB4F34">
        <w:rPr>
          <w:rFonts w:ascii="Aptos" w:hAnsi="Aptos"/>
          <w:sz w:val="24"/>
          <w:szCs w:val="24"/>
        </w:rPr>
        <w:t xml:space="preserve"> (littoral municipality directly affected by port operations</w:t>
      </w:r>
      <w:r w:rsidR="008D69BF" w:rsidRPr="00AB4F34">
        <w:rPr>
          <w:rFonts w:ascii="Aptos" w:hAnsi="Aptos"/>
          <w:sz w:val="24"/>
          <w:szCs w:val="24"/>
        </w:rPr>
        <w:t>; (community governance and political legitimacy)</w:t>
      </w:r>
      <w:r w:rsidR="009B6994" w:rsidRPr="00AB4F34">
        <w:rPr>
          <w:rFonts w:ascii="Aptos" w:hAnsi="Aptos"/>
          <w:sz w:val="24"/>
          <w:szCs w:val="24"/>
        </w:rPr>
        <w:t xml:space="preserve"> </w:t>
      </w:r>
      <w:r w:rsidR="00AB4F34" w:rsidRPr="00AB4F34">
        <w:rPr>
          <w:rFonts w:ascii="Aptos" w:hAnsi="Aptos"/>
          <w:sz w:val="24"/>
          <w:szCs w:val="24"/>
        </w:rPr>
        <w:t xml:space="preserve">– ANTONIA </w:t>
      </w:r>
    </w:p>
    <w:p w14:paraId="16DD742A" w14:textId="55DBF542" w:rsidR="008D69BF" w:rsidRPr="00AB4F34" w:rsidRDefault="008D69BF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 xml:space="preserve">Prefecture </w:t>
      </w:r>
      <w:r w:rsidR="009B6994" w:rsidRPr="00AB4F34">
        <w:rPr>
          <w:rFonts w:ascii="Aptos" w:hAnsi="Aptos"/>
          <w:b/>
          <w:bCs/>
          <w:sz w:val="24"/>
          <w:szCs w:val="24"/>
        </w:rPr>
        <w:t>of Piraeus</w:t>
      </w:r>
      <w:r w:rsidRPr="00AB4F34">
        <w:rPr>
          <w:rFonts w:ascii="Aptos" w:hAnsi="Aptos"/>
          <w:sz w:val="24"/>
          <w:szCs w:val="24"/>
        </w:rPr>
        <w:t xml:space="preserve"> (</w:t>
      </w:r>
      <w:r w:rsidR="00AB4F34" w:rsidRPr="00AB4F34">
        <w:rPr>
          <w:rFonts w:ascii="Aptos" w:hAnsi="Aptos"/>
          <w:sz w:val="24"/>
          <w:szCs w:val="24"/>
        </w:rPr>
        <w:t xml:space="preserve">city planning, </w:t>
      </w:r>
      <w:r w:rsidRPr="00AB4F34">
        <w:rPr>
          <w:rFonts w:ascii="Aptos" w:hAnsi="Aptos"/>
          <w:sz w:val="24"/>
          <w:szCs w:val="24"/>
        </w:rPr>
        <w:t>land</w:t>
      </w:r>
      <w:r w:rsidRPr="00AB4F34">
        <w:rPr>
          <w:rFonts w:ascii="Cambria Math" w:hAnsi="Cambria Math" w:cs="Cambria Math"/>
          <w:sz w:val="24"/>
          <w:szCs w:val="24"/>
        </w:rPr>
        <w:t>‑</w:t>
      </w:r>
      <w:r w:rsidRPr="00AB4F34">
        <w:rPr>
          <w:rFonts w:ascii="Aptos" w:hAnsi="Aptos"/>
          <w:sz w:val="24"/>
          <w:szCs w:val="24"/>
        </w:rPr>
        <w:t>use approval, permitting, compliance)</w:t>
      </w:r>
      <w:r w:rsidR="00AB4F34" w:rsidRPr="00AB4F34">
        <w:rPr>
          <w:rFonts w:ascii="Aptos" w:hAnsi="Aptos"/>
          <w:sz w:val="24"/>
          <w:szCs w:val="24"/>
        </w:rPr>
        <w:t xml:space="preserve"> – DONGBING </w:t>
      </w:r>
    </w:p>
    <w:p w14:paraId="49B4370B" w14:textId="351D2898" w:rsidR="008D69BF" w:rsidRPr="00AB4F34" w:rsidRDefault="008D69BF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lastRenderedPageBreak/>
        <w:t>Piraeus Port Authority</w:t>
      </w:r>
      <w:r w:rsidRPr="00AB4F34">
        <w:rPr>
          <w:rFonts w:ascii="Aptos" w:hAnsi="Aptos"/>
          <w:sz w:val="24"/>
          <w:szCs w:val="24"/>
        </w:rPr>
        <w:t xml:space="preserve"> (PPA) senior planning or operations executive</w:t>
      </w:r>
      <w:r w:rsidR="00AB4F34" w:rsidRPr="00AB4F34">
        <w:rPr>
          <w:rFonts w:ascii="Aptos" w:hAnsi="Aptos"/>
          <w:sz w:val="24"/>
          <w:szCs w:val="24"/>
        </w:rPr>
        <w:t xml:space="preserve"> – ELENA </w:t>
      </w:r>
      <w:r w:rsidR="00000000" w:rsidRPr="00AB4F34">
        <w:rPr>
          <w:rFonts w:ascii="Aptos" w:hAnsi="Aptos"/>
          <w:sz w:val="24"/>
          <w:szCs w:val="24"/>
        </w:rPr>
        <w:t xml:space="preserve"> </w:t>
      </w:r>
    </w:p>
    <w:p w14:paraId="07ED649A" w14:textId="6EA7BA84" w:rsidR="008D69BF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COSCO</w:t>
      </w:r>
      <w:r w:rsidRPr="00AB4F34">
        <w:rPr>
          <w:rFonts w:ascii="Aptos" w:hAnsi="Aptos"/>
          <w:sz w:val="24"/>
          <w:szCs w:val="24"/>
        </w:rPr>
        <w:t xml:space="preserve"> / </w:t>
      </w:r>
      <w:r w:rsidR="008D69BF" w:rsidRPr="00AB4F34">
        <w:rPr>
          <w:rFonts w:ascii="Aptos" w:hAnsi="Aptos"/>
          <w:sz w:val="24"/>
          <w:szCs w:val="24"/>
        </w:rPr>
        <w:t>International shipping and port development corporation</w:t>
      </w:r>
      <w:r w:rsidR="00AB4F34" w:rsidRPr="00AB4F34">
        <w:rPr>
          <w:rFonts w:ascii="Aptos" w:hAnsi="Aptos"/>
          <w:sz w:val="24"/>
          <w:szCs w:val="24"/>
        </w:rPr>
        <w:t xml:space="preserve"> – EVANGELIA </w:t>
      </w:r>
    </w:p>
    <w:p w14:paraId="33E083EF" w14:textId="769C5491" w:rsidR="008D69BF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Greek Ministry of Culture / Archaeological Service</w:t>
      </w:r>
      <w:r w:rsidRPr="00AB4F34">
        <w:rPr>
          <w:rFonts w:ascii="Aptos" w:hAnsi="Aptos"/>
          <w:sz w:val="24"/>
          <w:szCs w:val="24"/>
        </w:rPr>
        <w:t xml:space="preserve"> representative (heritage compliance authority)</w:t>
      </w:r>
      <w:r w:rsidR="00AB4F34" w:rsidRPr="00AB4F34">
        <w:rPr>
          <w:rFonts w:ascii="Aptos" w:hAnsi="Aptos"/>
          <w:sz w:val="24"/>
          <w:szCs w:val="24"/>
        </w:rPr>
        <w:t xml:space="preserve"> – FERSANA </w:t>
      </w:r>
    </w:p>
    <w:p w14:paraId="42FEF6D2" w14:textId="36CD5414" w:rsidR="008D69BF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Port</w:t>
      </w:r>
      <w:r w:rsidRPr="00AB4F34">
        <w:rPr>
          <w:rFonts w:ascii="Cambria Math" w:hAnsi="Cambria Math" w:cs="Cambria Math"/>
          <w:b/>
          <w:bCs/>
          <w:sz w:val="24"/>
          <w:szCs w:val="24"/>
        </w:rPr>
        <w:t>‑</w:t>
      </w:r>
      <w:r w:rsidRPr="00AB4F34">
        <w:rPr>
          <w:rFonts w:ascii="Aptos" w:hAnsi="Aptos"/>
          <w:b/>
          <w:bCs/>
          <w:sz w:val="24"/>
          <w:szCs w:val="24"/>
        </w:rPr>
        <w:t>worker union</w:t>
      </w:r>
      <w:r w:rsidRPr="00AB4F34">
        <w:rPr>
          <w:rFonts w:ascii="Aptos" w:hAnsi="Aptos"/>
          <w:sz w:val="24"/>
          <w:szCs w:val="24"/>
        </w:rPr>
        <w:t xml:space="preserve"> representative (labor security, conditions, bargaining)</w:t>
      </w:r>
      <w:r w:rsidR="00AB4F34" w:rsidRPr="00AB4F34">
        <w:rPr>
          <w:rFonts w:ascii="Aptos" w:hAnsi="Aptos"/>
          <w:sz w:val="24"/>
          <w:szCs w:val="24"/>
        </w:rPr>
        <w:t xml:space="preserve"> – RACHEL </w:t>
      </w:r>
    </w:p>
    <w:p w14:paraId="68C82CEB" w14:textId="3C2AF1A9" w:rsidR="008D69BF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Local residents’ association</w:t>
      </w:r>
      <w:r w:rsidRPr="00AB4F34">
        <w:rPr>
          <w:rFonts w:ascii="Aptos" w:hAnsi="Aptos"/>
          <w:sz w:val="24"/>
          <w:szCs w:val="24"/>
        </w:rPr>
        <w:t xml:space="preserve"> representative</w:t>
      </w:r>
      <w:r w:rsidR="00AB4F34">
        <w:rPr>
          <w:rFonts w:ascii="Aptos" w:hAnsi="Aptos"/>
          <w:sz w:val="24"/>
          <w:szCs w:val="24"/>
        </w:rPr>
        <w:t>(s)</w:t>
      </w:r>
      <w:r w:rsidRPr="00AB4F34">
        <w:rPr>
          <w:rFonts w:ascii="Aptos" w:hAnsi="Aptos"/>
          <w:sz w:val="24"/>
          <w:szCs w:val="24"/>
        </w:rPr>
        <w:t xml:space="preserve"> (Perama / </w:t>
      </w:r>
      <w:proofErr w:type="spellStart"/>
      <w:r w:rsidRPr="00AB4F34">
        <w:rPr>
          <w:rFonts w:ascii="Aptos" w:hAnsi="Aptos"/>
          <w:sz w:val="24"/>
          <w:szCs w:val="24"/>
        </w:rPr>
        <w:t>Keratsini</w:t>
      </w:r>
      <w:proofErr w:type="spellEnd"/>
      <w:r w:rsidRPr="00AB4F34">
        <w:rPr>
          <w:rFonts w:ascii="Aptos" w:hAnsi="Aptos"/>
          <w:sz w:val="24"/>
          <w:szCs w:val="24"/>
        </w:rPr>
        <w:t>–</w:t>
      </w:r>
      <w:proofErr w:type="spellStart"/>
      <w:r w:rsidRPr="00AB4F34">
        <w:rPr>
          <w:rFonts w:ascii="Aptos" w:hAnsi="Aptos"/>
          <w:sz w:val="24"/>
          <w:szCs w:val="24"/>
        </w:rPr>
        <w:t>Drapetsona</w:t>
      </w:r>
      <w:proofErr w:type="spellEnd"/>
      <w:r w:rsidRPr="00AB4F34">
        <w:rPr>
          <w:rFonts w:ascii="Aptos" w:hAnsi="Aptos"/>
          <w:sz w:val="24"/>
          <w:szCs w:val="24"/>
        </w:rPr>
        <w:t xml:space="preserve"> waterfront neighborhoods)</w:t>
      </w:r>
      <w:r w:rsidR="00AB4F34" w:rsidRPr="00AB4F34">
        <w:rPr>
          <w:rFonts w:ascii="Aptos" w:hAnsi="Aptos"/>
          <w:sz w:val="24"/>
          <w:szCs w:val="24"/>
        </w:rPr>
        <w:t xml:space="preserve"> – SOFIA </w:t>
      </w:r>
    </w:p>
    <w:p w14:paraId="0DE09259" w14:textId="09190AA5" w:rsidR="008D69BF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sz w:val="24"/>
          <w:szCs w:val="24"/>
        </w:rPr>
        <w:t xml:space="preserve">Local </w:t>
      </w:r>
      <w:r w:rsidR="00AB4F34" w:rsidRPr="00AB4F34">
        <w:rPr>
          <w:rFonts w:ascii="Aptos" w:hAnsi="Aptos"/>
          <w:b/>
          <w:bCs/>
          <w:sz w:val="24"/>
          <w:szCs w:val="24"/>
        </w:rPr>
        <w:t>SMEs</w:t>
      </w:r>
      <w:r w:rsidR="00AB4F34">
        <w:rPr>
          <w:rFonts w:ascii="Aptos" w:hAnsi="Aptos"/>
          <w:sz w:val="24"/>
          <w:szCs w:val="24"/>
        </w:rPr>
        <w:t xml:space="preserve"> (</w:t>
      </w:r>
      <w:r w:rsidRPr="00AB4F34">
        <w:rPr>
          <w:rFonts w:ascii="Aptos" w:hAnsi="Aptos"/>
          <w:sz w:val="24"/>
          <w:szCs w:val="24"/>
        </w:rPr>
        <w:t>S</w:t>
      </w:r>
      <w:r w:rsidR="008D69BF" w:rsidRPr="00AB4F34">
        <w:rPr>
          <w:rFonts w:ascii="Aptos" w:hAnsi="Aptos"/>
          <w:sz w:val="24"/>
          <w:szCs w:val="24"/>
        </w:rPr>
        <w:t xml:space="preserve">mall- and </w:t>
      </w:r>
      <w:r w:rsidRPr="00AB4F34">
        <w:rPr>
          <w:rFonts w:ascii="Aptos" w:hAnsi="Aptos"/>
          <w:sz w:val="24"/>
          <w:szCs w:val="24"/>
        </w:rPr>
        <w:t>M</w:t>
      </w:r>
      <w:r w:rsidR="008D69BF" w:rsidRPr="00AB4F34">
        <w:rPr>
          <w:rFonts w:ascii="Aptos" w:hAnsi="Aptos"/>
          <w:sz w:val="24"/>
          <w:szCs w:val="24"/>
        </w:rPr>
        <w:t xml:space="preserve">edium-Sized </w:t>
      </w:r>
      <w:proofErr w:type="gramStart"/>
      <w:r w:rsidRPr="00AB4F34">
        <w:rPr>
          <w:rFonts w:ascii="Aptos" w:hAnsi="Aptos"/>
          <w:sz w:val="24"/>
          <w:szCs w:val="24"/>
        </w:rPr>
        <w:t>E</w:t>
      </w:r>
      <w:r w:rsidR="008D69BF" w:rsidRPr="00AB4F34">
        <w:rPr>
          <w:rFonts w:ascii="Aptos" w:hAnsi="Aptos"/>
          <w:sz w:val="24"/>
          <w:szCs w:val="24"/>
        </w:rPr>
        <w:t>nterprises</w:t>
      </w:r>
      <w:r w:rsidRPr="00AB4F34">
        <w:rPr>
          <w:rFonts w:ascii="Aptos" w:hAnsi="Aptos"/>
          <w:sz w:val="24"/>
          <w:szCs w:val="24"/>
        </w:rPr>
        <w:t xml:space="preserve"> </w:t>
      </w:r>
      <w:r w:rsidR="00AB4F34">
        <w:rPr>
          <w:rFonts w:ascii="Aptos" w:hAnsi="Aptos"/>
          <w:sz w:val="24"/>
          <w:szCs w:val="24"/>
        </w:rPr>
        <w:t>)</w:t>
      </w:r>
      <w:proofErr w:type="gramEnd"/>
      <w:r w:rsidRPr="00AB4F34">
        <w:rPr>
          <w:rFonts w:ascii="Aptos" w:hAnsi="Aptos"/>
          <w:sz w:val="24"/>
          <w:szCs w:val="24"/>
        </w:rPr>
        <w:t>(livelihood continuity)</w:t>
      </w:r>
      <w:r w:rsidR="00AB4F34" w:rsidRPr="00AB4F34">
        <w:rPr>
          <w:rFonts w:ascii="Aptos" w:hAnsi="Aptos"/>
          <w:sz w:val="24"/>
          <w:szCs w:val="24"/>
        </w:rPr>
        <w:t xml:space="preserve"> – VERA </w:t>
      </w:r>
    </w:p>
    <w:p w14:paraId="21A6DD0F" w14:textId="320DF00D" w:rsidR="004A2AA6" w:rsidRPr="00AB4F34" w:rsidRDefault="00000000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Civil society</w:t>
      </w:r>
      <w:r w:rsidR="00AB4F34">
        <w:rPr>
          <w:rFonts w:ascii="Aptos" w:hAnsi="Aptos"/>
          <w:sz w:val="24"/>
          <w:szCs w:val="24"/>
        </w:rPr>
        <w:t>/</w:t>
      </w:r>
      <w:r w:rsidR="00AB4F34" w:rsidRPr="00AB4F34">
        <w:rPr>
          <w:rFonts w:ascii="Aptos" w:hAnsi="Aptos"/>
          <w:b/>
          <w:bCs/>
          <w:sz w:val="24"/>
          <w:szCs w:val="24"/>
        </w:rPr>
        <w:t>NGOs</w:t>
      </w:r>
      <w:r w:rsidR="00AB4F34">
        <w:rPr>
          <w:rFonts w:ascii="Aptos" w:hAnsi="Aptos"/>
          <w:sz w:val="24"/>
          <w:szCs w:val="24"/>
        </w:rPr>
        <w:t xml:space="preserve"> </w:t>
      </w:r>
      <w:r w:rsidRPr="00AB4F34">
        <w:rPr>
          <w:rFonts w:ascii="Aptos" w:hAnsi="Aptos"/>
          <w:sz w:val="24"/>
          <w:szCs w:val="24"/>
        </w:rPr>
        <w:t>environmental</w:t>
      </w:r>
      <w:r w:rsidRPr="00AB4F34">
        <w:rPr>
          <w:rFonts w:ascii="Cambria Math" w:hAnsi="Cambria Math" w:cs="Cambria Math"/>
          <w:sz w:val="24"/>
          <w:szCs w:val="24"/>
        </w:rPr>
        <w:t>‑</w:t>
      </w:r>
      <w:r w:rsidRPr="00AB4F34">
        <w:rPr>
          <w:rFonts w:ascii="Aptos" w:hAnsi="Aptos"/>
          <w:sz w:val="24"/>
          <w:szCs w:val="24"/>
        </w:rPr>
        <w:t>health advoca</w:t>
      </w:r>
      <w:r w:rsidR="00AB4F34">
        <w:rPr>
          <w:rFonts w:ascii="Aptos" w:hAnsi="Aptos"/>
          <w:sz w:val="24"/>
          <w:szCs w:val="24"/>
        </w:rPr>
        <w:t>cy</w:t>
      </w:r>
      <w:r w:rsidRPr="00AB4F34">
        <w:rPr>
          <w:rFonts w:ascii="Aptos" w:hAnsi="Aptos"/>
          <w:sz w:val="24"/>
          <w:szCs w:val="24"/>
        </w:rPr>
        <w:t xml:space="preserve"> (air/noise impacts, cumulative risk, accountability)</w:t>
      </w:r>
      <w:r w:rsidR="00AB4F34" w:rsidRPr="00AB4F34">
        <w:rPr>
          <w:rFonts w:ascii="Aptos" w:hAnsi="Aptos"/>
          <w:sz w:val="24"/>
          <w:szCs w:val="24"/>
        </w:rPr>
        <w:t xml:space="preserve"> – </w:t>
      </w:r>
      <w:proofErr w:type="spellStart"/>
      <w:r w:rsidR="00AB4F34" w:rsidRPr="00AB4F34">
        <w:rPr>
          <w:rFonts w:ascii="Aptos" w:hAnsi="Aptos"/>
          <w:sz w:val="24"/>
          <w:szCs w:val="24"/>
        </w:rPr>
        <w:t>YUEXU</w:t>
      </w:r>
      <w:proofErr w:type="spellEnd"/>
      <w:r w:rsidR="00AB4F34" w:rsidRPr="00AB4F34">
        <w:rPr>
          <w:rFonts w:ascii="Aptos" w:hAnsi="Aptos"/>
          <w:sz w:val="24"/>
          <w:szCs w:val="24"/>
        </w:rPr>
        <w:t xml:space="preserve"> </w:t>
      </w:r>
    </w:p>
    <w:p w14:paraId="33F0460B" w14:textId="728E54BC" w:rsidR="008D69BF" w:rsidRPr="00AB4F34" w:rsidRDefault="008D69BF" w:rsidP="00AB4F34">
      <w:pPr>
        <w:pStyle w:val="ListParagraph"/>
        <w:numPr>
          <w:ilvl w:val="0"/>
          <w:numId w:val="11"/>
        </w:numPr>
        <w:spacing w:before="120"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>European Union</w:t>
      </w:r>
      <w:r w:rsidRPr="00AB4F34">
        <w:rPr>
          <w:rFonts w:ascii="Aptos" w:hAnsi="Aptos"/>
          <w:sz w:val="24"/>
          <w:szCs w:val="24"/>
        </w:rPr>
        <w:t xml:space="preserve">, Commission, Structural Funds: European Regional Development Fund, Social Development </w:t>
      </w:r>
      <w:r w:rsidR="00AB4F34" w:rsidRPr="00AB4F34">
        <w:rPr>
          <w:rFonts w:ascii="Aptos" w:hAnsi="Aptos"/>
          <w:sz w:val="24"/>
          <w:szCs w:val="24"/>
        </w:rPr>
        <w:t xml:space="preserve">Plus (+) – ALEX </w:t>
      </w:r>
    </w:p>
    <w:p w14:paraId="1AAFEF8C" w14:textId="77777777" w:rsidR="00AB4F3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197B4E36" w14:textId="13D9E1DF" w:rsidR="004A2AA6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b/>
          <w:bCs/>
          <w:sz w:val="24"/>
          <w:szCs w:val="24"/>
        </w:rPr>
        <w:t xml:space="preserve">YOUR </w:t>
      </w:r>
      <w:r w:rsidR="00000000" w:rsidRPr="00AB4F34">
        <w:rPr>
          <w:rFonts w:ascii="Aptos" w:hAnsi="Aptos"/>
          <w:b/>
          <w:bCs/>
          <w:sz w:val="24"/>
          <w:szCs w:val="24"/>
        </w:rPr>
        <w:t>Role</w:t>
      </w:r>
      <w:r w:rsidR="00000000" w:rsidRPr="009B6994">
        <w:rPr>
          <w:rFonts w:ascii="Aptos" w:hAnsi="Aptos"/>
          <w:sz w:val="24"/>
          <w:szCs w:val="24"/>
        </w:rPr>
        <w:t>: ________________________________</w:t>
      </w:r>
    </w:p>
    <w:p w14:paraId="2A742537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44C48047" w14:textId="77777777" w:rsidR="004A2AA6" w:rsidRPr="00613725" w:rsidRDefault="00000000" w:rsidP="009B6994">
      <w:pPr>
        <w:spacing w:after="0" w:line="240" w:lineRule="auto"/>
        <w:rPr>
          <w:rFonts w:ascii="Aptos" w:hAnsi="Aptos"/>
          <w:color w:val="C00000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>Step 1 — Presenting issue (surface trigger)</w:t>
      </w:r>
    </w:p>
    <w:p w14:paraId="66C5812A" w14:textId="77777777" w:rsidR="00AB4F34" w:rsidRPr="00613725" w:rsidRDefault="00AB4F34" w:rsidP="009B6994">
      <w:pPr>
        <w:spacing w:after="0" w:line="240" w:lineRule="auto"/>
        <w:rPr>
          <w:rFonts w:ascii="Aptos" w:hAnsi="Aptos"/>
          <w:sz w:val="10"/>
          <w:szCs w:val="10"/>
        </w:rPr>
      </w:pPr>
    </w:p>
    <w:p w14:paraId="417A00B4" w14:textId="72273FBF" w:rsidR="004A2AA6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 xml:space="preserve">In one public sentence, what are you “fighting about” in your </w:t>
      </w:r>
      <w:r w:rsidR="008D69BF" w:rsidRPr="009B6994">
        <w:rPr>
          <w:rFonts w:ascii="Aptos" w:hAnsi="Aptos"/>
          <w:sz w:val="24"/>
          <w:szCs w:val="24"/>
        </w:rPr>
        <w:t xml:space="preserve">assigned </w:t>
      </w:r>
      <w:r w:rsidRPr="009B6994">
        <w:rPr>
          <w:rFonts w:ascii="Aptos" w:hAnsi="Aptos"/>
          <w:sz w:val="24"/>
          <w:szCs w:val="24"/>
        </w:rPr>
        <w:t>actor’s framing?</w:t>
      </w:r>
    </w:p>
    <w:p w14:paraId="0AC0B483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16"/>
      </w:tblGrid>
      <w:tr w:rsidR="004A2AA6" w:rsidRPr="009B6994" w14:paraId="5E024096" w14:textId="77777777">
        <w:tc>
          <w:tcPr>
            <w:tcW w:w="8640" w:type="dxa"/>
          </w:tcPr>
          <w:p w14:paraId="0079DC3A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Presenting issue (one sentence)</w:t>
            </w:r>
          </w:p>
        </w:tc>
      </w:tr>
      <w:tr w:rsidR="004A2AA6" w:rsidRPr="009B6994" w14:paraId="6EFB178C" w14:textId="77777777">
        <w:tc>
          <w:tcPr>
            <w:tcW w:w="8640" w:type="dxa"/>
          </w:tcPr>
          <w:p w14:paraId="17749815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2A627CAC" w14:textId="77777777">
        <w:tc>
          <w:tcPr>
            <w:tcW w:w="8640" w:type="dxa"/>
          </w:tcPr>
          <w:p w14:paraId="31C33F5C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F559A91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32177C7A" w14:textId="38E61CA2" w:rsidR="004A2AA6" w:rsidRPr="00613725" w:rsidRDefault="00000000" w:rsidP="009B6994">
      <w:pPr>
        <w:spacing w:after="0" w:line="240" w:lineRule="auto"/>
        <w:rPr>
          <w:rFonts w:ascii="Aptos" w:hAnsi="Aptos"/>
          <w:color w:val="C00000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>Step 2 — Referent object (who/what must be secured)</w:t>
      </w:r>
      <w:r w:rsidR="00AB4F34" w:rsidRPr="00613725">
        <w:rPr>
          <w:rFonts w:ascii="Aptos" w:hAnsi="Aptos"/>
          <w:b/>
          <w:color w:val="C00000"/>
          <w:sz w:val="28"/>
          <w:szCs w:val="28"/>
        </w:rPr>
        <w:t xml:space="preserve"> – </w:t>
      </w:r>
      <w:r w:rsidR="00AB4F34" w:rsidRPr="00613725">
        <w:rPr>
          <w:rFonts w:ascii="Aptos" w:hAnsi="Aptos"/>
          <w:b/>
          <w:color w:val="C00000"/>
          <w:sz w:val="28"/>
          <w:szCs w:val="28"/>
          <w:u w:val="single"/>
        </w:rPr>
        <w:t>human stakes</w:t>
      </w:r>
    </w:p>
    <w:p w14:paraId="107996CA" w14:textId="77777777" w:rsidR="00AB4F34" w:rsidRPr="00613725" w:rsidRDefault="00AB4F34" w:rsidP="009B6994">
      <w:pPr>
        <w:spacing w:after="0" w:line="240" w:lineRule="auto"/>
        <w:rPr>
          <w:rFonts w:ascii="Aptos" w:hAnsi="Aptos"/>
          <w:sz w:val="10"/>
          <w:szCs w:val="10"/>
        </w:rPr>
      </w:pPr>
    </w:p>
    <w:p w14:paraId="4A0F18F4" w14:textId="0D339F79" w:rsidR="004A2AA6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Name the referent object precisely (not a slogan). Keep the human security lens in view.</w:t>
      </w:r>
    </w:p>
    <w:p w14:paraId="769B156E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9"/>
        <w:gridCol w:w="4257"/>
      </w:tblGrid>
      <w:tr w:rsidR="004A2AA6" w:rsidRPr="009B6994" w14:paraId="76F78104" w14:textId="77777777">
        <w:tc>
          <w:tcPr>
            <w:tcW w:w="4320" w:type="dxa"/>
          </w:tcPr>
          <w:p w14:paraId="403D312A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Referent object</w:t>
            </w:r>
          </w:p>
        </w:tc>
        <w:tc>
          <w:tcPr>
            <w:tcW w:w="4320" w:type="dxa"/>
          </w:tcPr>
          <w:p w14:paraId="06940103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Why it is the referent object (1–2 lines)</w:t>
            </w:r>
          </w:p>
        </w:tc>
      </w:tr>
      <w:tr w:rsidR="004A2AA6" w:rsidRPr="009B6994" w14:paraId="542C6E8A" w14:textId="77777777">
        <w:tc>
          <w:tcPr>
            <w:tcW w:w="4320" w:type="dxa"/>
          </w:tcPr>
          <w:p w14:paraId="101D67BF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20" w:type="dxa"/>
          </w:tcPr>
          <w:p w14:paraId="5321D670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72782C27" w14:textId="77777777">
        <w:tc>
          <w:tcPr>
            <w:tcW w:w="4320" w:type="dxa"/>
          </w:tcPr>
          <w:p w14:paraId="47997488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20" w:type="dxa"/>
          </w:tcPr>
          <w:p w14:paraId="65185B6C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14E18251" w14:textId="77777777">
        <w:tc>
          <w:tcPr>
            <w:tcW w:w="4320" w:type="dxa"/>
          </w:tcPr>
          <w:p w14:paraId="0742BFEB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20" w:type="dxa"/>
          </w:tcPr>
          <w:p w14:paraId="26C9557E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A51121A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03303D86" w14:textId="317343AA" w:rsidR="004A2AA6" w:rsidRPr="00613725" w:rsidRDefault="00000000" w:rsidP="009B6994">
      <w:pPr>
        <w:spacing w:after="0" w:line="240" w:lineRule="auto"/>
        <w:rPr>
          <w:rFonts w:ascii="Aptos" w:hAnsi="Aptos"/>
          <w:color w:val="C00000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>Step 3 — P.L.U. (Power / Legitimacy / Urgency)</w:t>
      </w:r>
      <w:r w:rsidR="008D69BF" w:rsidRPr="00613725">
        <w:rPr>
          <w:rFonts w:ascii="Aptos" w:hAnsi="Aptos"/>
          <w:b/>
          <w:color w:val="C00000"/>
          <w:sz w:val="28"/>
          <w:szCs w:val="28"/>
        </w:rPr>
        <w:t xml:space="preserve"> – “P.L.U.”</w:t>
      </w:r>
    </w:p>
    <w:p w14:paraId="708D1DE9" w14:textId="77777777" w:rsidR="00AB4F34" w:rsidRPr="00613725" w:rsidRDefault="00AB4F34" w:rsidP="009B6994">
      <w:pPr>
        <w:spacing w:after="0" w:line="240" w:lineRule="auto"/>
        <w:rPr>
          <w:rFonts w:ascii="Aptos" w:hAnsi="Aptos"/>
          <w:sz w:val="10"/>
          <w:szCs w:val="10"/>
        </w:rPr>
      </w:pPr>
    </w:p>
    <w:p w14:paraId="6CB4FB7E" w14:textId="13459C62" w:rsidR="004A2AA6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State one concrete basis for each attribute, in your actor’s voice.</w:t>
      </w:r>
    </w:p>
    <w:p w14:paraId="47190DEE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8"/>
        <w:gridCol w:w="2843"/>
        <w:gridCol w:w="2835"/>
      </w:tblGrid>
      <w:tr w:rsidR="004A2AA6" w:rsidRPr="009B6994" w14:paraId="08F5D3C5" w14:textId="77777777">
        <w:tc>
          <w:tcPr>
            <w:tcW w:w="2880" w:type="dxa"/>
          </w:tcPr>
          <w:p w14:paraId="76210B5B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Power (capacity to act)</w:t>
            </w:r>
          </w:p>
        </w:tc>
        <w:tc>
          <w:tcPr>
            <w:tcW w:w="2880" w:type="dxa"/>
          </w:tcPr>
          <w:p w14:paraId="6CBD991E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Legitimacy (why others should listen)</w:t>
            </w:r>
          </w:p>
        </w:tc>
        <w:tc>
          <w:tcPr>
            <w:tcW w:w="2880" w:type="dxa"/>
          </w:tcPr>
          <w:p w14:paraId="40A805DD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Urgency (why now)</w:t>
            </w:r>
          </w:p>
        </w:tc>
      </w:tr>
      <w:tr w:rsidR="004A2AA6" w:rsidRPr="009B6994" w14:paraId="3620D839" w14:textId="77777777">
        <w:tc>
          <w:tcPr>
            <w:tcW w:w="2880" w:type="dxa"/>
          </w:tcPr>
          <w:p w14:paraId="59C9CFEE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E3AD379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21CFA605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41F8B8D8" w14:textId="77777777">
        <w:tc>
          <w:tcPr>
            <w:tcW w:w="2880" w:type="dxa"/>
          </w:tcPr>
          <w:p w14:paraId="2513C459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260424F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41DC781D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775D78F9" w14:textId="77777777">
        <w:tc>
          <w:tcPr>
            <w:tcW w:w="2880" w:type="dxa"/>
          </w:tcPr>
          <w:p w14:paraId="7DD80BCF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644A0021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05F3DC77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57F6EE0E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371763D5" w14:textId="77777777" w:rsidR="004A2AA6" w:rsidRPr="00613725" w:rsidRDefault="00000000" w:rsidP="009B6994">
      <w:pPr>
        <w:spacing w:after="0" w:line="240" w:lineRule="auto"/>
        <w:rPr>
          <w:rFonts w:ascii="Aptos" w:hAnsi="Aptos"/>
          <w:color w:val="C00000"/>
          <w:sz w:val="28"/>
          <w:szCs w:val="28"/>
        </w:rPr>
      </w:pPr>
      <w:r w:rsidRPr="00613725">
        <w:rPr>
          <w:rFonts w:ascii="Aptos" w:hAnsi="Aptos"/>
          <w:b/>
          <w:color w:val="C00000"/>
          <w:sz w:val="28"/>
          <w:szCs w:val="28"/>
        </w:rPr>
        <w:t>Step 4 — Interpretive layer (positions → interests → needs → narratives)</w:t>
      </w:r>
    </w:p>
    <w:p w14:paraId="31781CF5" w14:textId="77777777" w:rsidR="00AB4F34" w:rsidRPr="00613725" w:rsidRDefault="00AB4F34" w:rsidP="009B6994">
      <w:pPr>
        <w:spacing w:after="0" w:line="240" w:lineRule="auto"/>
        <w:rPr>
          <w:rFonts w:ascii="Aptos" w:hAnsi="Aptos"/>
          <w:sz w:val="10"/>
          <w:szCs w:val="10"/>
        </w:rPr>
      </w:pPr>
    </w:p>
    <w:p w14:paraId="175DA691" w14:textId="27382F37" w:rsidR="004A2AA6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Separate what you demand from why you demand it, and name the narrative that makes compromise hard.</w:t>
      </w:r>
    </w:p>
    <w:p w14:paraId="4096AFFC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3"/>
        <w:gridCol w:w="2117"/>
        <w:gridCol w:w="2154"/>
        <w:gridCol w:w="2122"/>
      </w:tblGrid>
      <w:tr w:rsidR="004A2AA6" w:rsidRPr="009B6994" w14:paraId="3FFACCE3" w14:textId="77777777">
        <w:tc>
          <w:tcPr>
            <w:tcW w:w="2160" w:type="dxa"/>
          </w:tcPr>
          <w:p w14:paraId="67F047C8" w14:textId="77777777" w:rsidR="004A2AA6" w:rsidRPr="009B6994" w:rsidRDefault="00000000" w:rsidP="009B6994">
            <w:pPr>
              <w:rPr>
                <w:rFonts w:ascii="Aptos" w:hAnsi="Aptos"/>
                <w:b/>
                <w:sz w:val="24"/>
                <w:szCs w:val="24"/>
              </w:rPr>
            </w:pPr>
            <w:r w:rsidRPr="00AB4F34">
              <w:rPr>
                <w:rFonts w:ascii="Aptos" w:hAnsi="Aptos"/>
                <w:b/>
                <w:sz w:val="24"/>
                <w:szCs w:val="24"/>
                <w:u w:val="single"/>
              </w:rPr>
              <w:t>Position</w:t>
            </w:r>
            <w:r w:rsidRPr="009B6994">
              <w:rPr>
                <w:rFonts w:ascii="Aptos" w:hAnsi="Aptos"/>
                <w:b/>
                <w:sz w:val="24"/>
                <w:szCs w:val="24"/>
              </w:rPr>
              <w:t xml:space="preserve"> (demand)</w:t>
            </w:r>
            <w:r w:rsidR="008D69BF" w:rsidRPr="009B6994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</w:p>
          <w:p w14:paraId="7ECBC763" w14:textId="56013788" w:rsidR="008D69BF" w:rsidRPr="009B6994" w:rsidRDefault="008D69BF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Often a “redline”</w:t>
            </w:r>
          </w:p>
        </w:tc>
        <w:tc>
          <w:tcPr>
            <w:tcW w:w="2160" w:type="dxa"/>
          </w:tcPr>
          <w:p w14:paraId="6AAD2270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AB4F34">
              <w:rPr>
                <w:rFonts w:ascii="Aptos" w:hAnsi="Aptos"/>
                <w:b/>
                <w:sz w:val="24"/>
                <w:szCs w:val="24"/>
                <w:u w:val="single"/>
              </w:rPr>
              <w:t>Interest</w:t>
            </w:r>
            <w:r w:rsidRPr="009B6994">
              <w:rPr>
                <w:rFonts w:ascii="Aptos" w:hAnsi="Aptos"/>
                <w:b/>
                <w:sz w:val="24"/>
                <w:szCs w:val="24"/>
              </w:rPr>
              <w:t xml:space="preserve"> (reason)</w:t>
            </w:r>
          </w:p>
        </w:tc>
        <w:tc>
          <w:tcPr>
            <w:tcW w:w="2160" w:type="dxa"/>
          </w:tcPr>
          <w:p w14:paraId="0F0F1E19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AB4F34">
              <w:rPr>
                <w:rFonts w:ascii="Aptos" w:hAnsi="Aptos"/>
                <w:b/>
                <w:sz w:val="24"/>
                <w:szCs w:val="24"/>
                <w:u w:val="single"/>
              </w:rPr>
              <w:t>Need</w:t>
            </w:r>
            <w:r w:rsidRPr="009B6994">
              <w:rPr>
                <w:rFonts w:ascii="Aptos" w:hAnsi="Aptos"/>
                <w:b/>
                <w:sz w:val="24"/>
                <w:szCs w:val="24"/>
              </w:rPr>
              <w:t xml:space="preserve"> (non</w:t>
            </w:r>
            <w:r w:rsidRPr="009B6994">
              <w:rPr>
                <w:rFonts w:ascii="Cambria Math" w:hAnsi="Cambria Math" w:cs="Cambria Math"/>
                <w:b/>
                <w:sz w:val="24"/>
                <w:szCs w:val="24"/>
              </w:rPr>
              <w:t>‑</w:t>
            </w:r>
            <w:r w:rsidRPr="009B6994">
              <w:rPr>
                <w:rFonts w:ascii="Aptos" w:hAnsi="Aptos"/>
                <w:b/>
                <w:sz w:val="24"/>
                <w:szCs w:val="24"/>
              </w:rPr>
              <w:t>negotiable)</w:t>
            </w:r>
          </w:p>
        </w:tc>
        <w:tc>
          <w:tcPr>
            <w:tcW w:w="2160" w:type="dxa"/>
          </w:tcPr>
          <w:p w14:paraId="52025EC7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AB4F34">
              <w:rPr>
                <w:rFonts w:ascii="Aptos" w:hAnsi="Aptos"/>
                <w:b/>
                <w:sz w:val="24"/>
                <w:szCs w:val="24"/>
                <w:u w:val="single"/>
              </w:rPr>
              <w:t>Narrative</w:t>
            </w:r>
            <w:r w:rsidRPr="009B6994">
              <w:rPr>
                <w:rFonts w:ascii="Aptos" w:hAnsi="Aptos"/>
                <w:b/>
                <w:sz w:val="24"/>
                <w:szCs w:val="24"/>
              </w:rPr>
              <w:t xml:space="preserve"> (meaning frame)</w:t>
            </w:r>
          </w:p>
        </w:tc>
      </w:tr>
      <w:tr w:rsidR="004A2AA6" w:rsidRPr="009B6994" w14:paraId="74072B1A" w14:textId="77777777">
        <w:tc>
          <w:tcPr>
            <w:tcW w:w="2160" w:type="dxa"/>
          </w:tcPr>
          <w:p w14:paraId="1392FD14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903AF3A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D65F811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BEAA69F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5C72D4D4" w14:textId="77777777">
        <w:tc>
          <w:tcPr>
            <w:tcW w:w="2160" w:type="dxa"/>
          </w:tcPr>
          <w:p w14:paraId="520D82B3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B5BE969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0165FEC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56AC776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5F26CB2B" w14:textId="77777777">
        <w:tc>
          <w:tcPr>
            <w:tcW w:w="2160" w:type="dxa"/>
          </w:tcPr>
          <w:p w14:paraId="3C5BB67D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5749B59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578792E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9CD9700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6E4D0750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1C1E67F9" w14:textId="77777777" w:rsidR="004A2AA6" w:rsidRPr="00372CF3" w:rsidRDefault="00000000" w:rsidP="009B6994">
      <w:pPr>
        <w:spacing w:after="0" w:line="240" w:lineRule="auto"/>
        <w:rPr>
          <w:rFonts w:ascii="Aptos" w:hAnsi="Aptos"/>
          <w:color w:val="C00000"/>
          <w:sz w:val="28"/>
          <w:szCs w:val="28"/>
        </w:rPr>
      </w:pPr>
      <w:r w:rsidRPr="00372CF3">
        <w:rPr>
          <w:rFonts w:ascii="Aptos" w:hAnsi="Aptos"/>
          <w:b/>
          <w:color w:val="C00000"/>
          <w:sz w:val="28"/>
          <w:szCs w:val="28"/>
        </w:rPr>
        <w:t>Step 5 — Diagnostic synthesis (prepare for negotiation later)</w:t>
      </w:r>
    </w:p>
    <w:p w14:paraId="268E3B2B" w14:textId="77777777" w:rsidR="00AB4F34" w:rsidRPr="00372CF3" w:rsidRDefault="00AB4F34" w:rsidP="009B6994">
      <w:pPr>
        <w:spacing w:after="0" w:line="240" w:lineRule="auto"/>
        <w:rPr>
          <w:rFonts w:ascii="Aptos" w:hAnsi="Aptos"/>
          <w:sz w:val="10"/>
          <w:szCs w:val="10"/>
        </w:rPr>
      </w:pPr>
    </w:p>
    <w:p w14:paraId="5587821D" w14:textId="2D796E6E" w:rsidR="004A2AA6" w:rsidRDefault="00000000" w:rsidP="009B6994">
      <w:pPr>
        <w:spacing w:after="0" w:line="240" w:lineRule="auto"/>
        <w:rPr>
          <w:rFonts w:ascii="Aptos" w:hAnsi="Aptos"/>
          <w:sz w:val="24"/>
          <w:szCs w:val="24"/>
        </w:rPr>
      </w:pPr>
      <w:r w:rsidRPr="009B6994">
        <w:rPr>
          <w:rFonts w:ascii="Aptos" w:hAnsi="Aptos"/>
          <w:sz w:val="24"/>
          <w:szCs w:val="24"/>
        </w:rPr>
        <w:t>Draft three diagnostic sentences. Keep them concrete and testable.</w:t>
      </w:r>
      <w:r w:rsidR="008D69BF" w:rsidRPr="009B6994">
        <w:rPr>
          <w:rFonts w:ascii="Aptos" w:hAnsi="Aptos"/>
          <w:sz w:val="24"/>
          <w:szCs w:val="24"/>
        </w:rPr>
        <w:t xml:space="preserve"> This is not about your assigned role. It’s about how you diagnose the overall conflict once you have heard the</w:t>
      </w:r>
      <w:r w:rsidR="00C41FF1" w:rsidRPr="009B6994">
        <w:rPr>
          <w:rFonts w:ascii="Aptos" w:hAnsi="Aptos"/>
          <w:sz w:val="24"/>
          <w:szCs w:val="24"/>
        </w:rPr>
        <w:t xml:space="preserve"> arguments of the opposing sides.</w:t>
      </w:r>
    </w:p>
    <w:p w14:paraId="1767961B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6"/>
        <w:gridCol w:w="2840"/>
        <w:gridCol w:w="2840"/>
      </w:tblGrid>
      <w:tr w:rsidR="004A2AA6" w:rsidRPr="009B6994" w14:paraId="4FBF6748" w14:textId="77777777">
        <w:tc>
          <w:tcPr>
            <w:tcW w:w="2880" w:type="dxa"/>
          </w:tcPr>
          <w:p w14:paraId="4A977763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1) The dispute is primarily about…</w:t>
            </w:r>
          </w:p>
        </w:tc>
        <w:tc>
          <w:tcPr>
            <w:tcW w:w="2880" w:type="dxa"/>
          </w:tcPr>
          <w:p w14:paraId="2FCBFD8A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2) The deepest collision is between…</w:t>
            </w:r>
          </w:p>
        </w:tc>
        <w:tc>
          <w:tcPr>
            <w:tcW w:w="2880" w:type="dxa"/>
          </w:tcPr>
          <w:p w14:paraId="3FCA522D" w14:textId="77777777" w:rsidR="004A2AA6" w:rsidRPr="009B6994" w:rsidRDefault="00000000" w:rsidP="009B6994">
            <w:pPr>
              <w:rPr>
                <w:rFonts w:ascii="Aptos" w:hAnsi="Aptos"/>
                <w:sz w:val="24"/>
                <w:szCs w:val="24"/>
              </w:rPr>
            </w:pPr>
            <w:r w:rsidRPr="009B6994">
              <w:rPr>
                <w:rFonts w:ascii="Aptos" w:hAnsi="Aptos"/>
                <w:b/>
                <w:sz w:val="24"/>
                <w:szCs w:val="24"/>
              </w:rPr>
              <w:t>3) The conflict persists because…</w:t>
            </w:r>
          </w:p>
        </w:tc>
      </w:tr>
      <w:tr w:rsidR="004A2AA6" w:rsidRPr="009B6994" w14:paraId="5CD0DCD9" w14:textId="77777777">
        <w:tc>
          <w:tcPr>
            <w:tcW w:w="2880" w:type="dxa"/>
          </w:tcPr>
          <w:p w14:paraId="7CEA1450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B1A3521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7774F466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4A2AA6" w:rsidRPr="009B6994" w14:paraId="440351D8" w14:textId="77777777">
        <w:tc>
          <w:tcPr>
            <w:tcW w:w="2880" w:type="dxa"/>
          </w:tcPr>
          <w:p w14:paraId="53B54AF8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6D09F9A3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880" w:type="dxa"/>
          </w:tcPr>
          <w:p w14:paraId="32BAD17C" w14:textId="77777777" w:rsidR="004A2AA6" w:rsidRPr="009B6994" w:rsidRDefault="004A2AA6" w:rsidP="009B6994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4E67B677" w14:textId="77777777" w:rsidR="004A2AA6" w:rsidRPr="009B6994" w:rsidRDefault="004A2AA6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7BCFDBC1" w14:textId="2991224A" w:rsidR="004A2AA6" w:rsidRPr="00372CF3" w:rsidRDefault="00372CF3" w:rsidP="009B6994">
      <w:pPr>
        <w:spacing w:after="0" w:line="240" w:lineRule="auto"/>
        <w:rPr>
          <w:rFonts w:ascii="Aptos" w:hAnsi="Aptos"/>
          <w:b/>
          <w:color w:val="C00000"/>
          <w:sz w:val="28"/>
          <w:szCs w:val="28"/>
        </w:rPr>
      </w:pPr>
      <w:r w:rsidRPr="00372CF3">
        <w:rPr>
          <w:rFonts w:ascii="Aptos" w:hAnsi="Aptos"/>
          <w:b/>
          <w:color w:val="C00000"/>
          <w:sz w:val="28"/>
          <w:szCs w:val="28"/>
        </w:rPr>
        <w:t xml:space="preserve">Step 6 – Initial </w:t>
      </w:r>
      <w:r w:rsidR="00AB4F34" w:rsidRPr="00372CF3">
        <w:rPr>
          <w:rFonts w:ascii="Aptos" w:hAnsi="Aptos"/>
          <w:b/>
          <w:color w:val="C00000"/>
          <w:sz w:val="28"/>
          <w:szCs w:val="28"/>
        </w:rPr>
        <w:t>assessment</w:t>
      </w:r>
      <w:r w:rsidR="00000000" w:rsidRPr="00372CF3">
        <w:rPr>
          <w:rFonts w:ascii="Aptos" w:hAnsi="Aptos"/>
          <w:b/>
          <w:color w:val="C00000"/>
          <w:sz w:val="28"/>
          <w:szCs w:val="28"/>
        </w:rPr>
        <w:t xml:space="preserve"> (3 statements)</w:t>
      </w:r>
      <w:r w:rsidR="00AB4F34" w:rsidRPr="00372CF3">
        <w:rPr>
          <w:rFonts w:ascii="Aptos" w:hAnsi="Aptos"/>
          <w:b/>
          <w:color w:val="C00000"/>
          <w:sz w:val="28"/>
          <w:szCs w:val="28"/>
        </w:rPr>
        <w:t xml:space="preserve"> – This is not about your role. It is your assessment of the overall conflict once you have </w:t>
      </w:r>
      <w:proofErr w:type="gramStart"/>
      <w:r w:rsidR="00AB4F34" w:rsidRPr="00372CF3">
        <w:rPr>
          <w:rFonts w:ascii="Aptos" w:hAnsi="Aptos"/>
          <w:b/>
          <w:color w:val="C00000"/>
          <w:sz w:val="28"/>
          <w:szCs w:val="28"/>
        </w:rPr>
        <w:t>listen</w:t>
      </w:r>
      <w:proofErr w:type="gramEnd"/>
      <w:r w:rsidR="00AB4F34" w:rsidRPr="00372CF3">
        <w:rPr>
          <w:rFonts w:ascii="Aptos" w:hAnsi="Aptos"/>
          <w:b/>
          <w:color w:val="C00000"/>
          <w:sz w:val="28"/>
          <w:szCs w:val="28"/>
        </w:rPr>
        <w:t xml:space="preserve"> to all sides.</w:t>
      </w:r>
    </w:p>
    <w:p w14:paraId="33A4E825" w14:textId="77777777" w:rsidR="00AB4F34" w:rsidRPr="009B6994" w:rsidRDefault="00AB4F34" w:rsidP="009B6994">
      <w:pPr>
        <w:spacing w:after="0" w:line="240" w:lineRule="auto"/>
        <w:rPr>
          <w:rFonts w:ascii="Aptos" w:hAnsi="Aptos"/>
          <w:sz w:val="24"/>
          <w:szCs w:val="24"/>
        </w:rPr>
      </w:pPr>
    </w:p>
    <w:p w14:paraId="702E63DC" w14:textId="459F08AC" w:rsidR="004A2AA6" w:rsidRPr="00AB4F34" w:rsidRDefault="00000000" w:rsidP="00AB4F34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sz w:val="24"/>
          <w:szCs w:val="24"/>
        </w:rPr>
        <w:t>The presenting issue is ________, but the conflict is really about ________.</w:t>
      </w:r>
    </w:p>
    <w:p w14:paraId="4888DD4F" w14:textId="77777777" w:rsidR="00AB4F34" w:rsidRPr="00AB4F34" w:rsidRDefault="00AB4F34" w:rsidP="00AB4F34">
      <w:pPr>
        <w:pStyle w:val="ListParagraph"/>
        <w:spacing w:after="0" w:line="240" w:lineRule="auto"/>
        <w:rPr>
          <w:rFonts w:ascii="Aptos" w:hAnsi="Aptos"/>
          <w:sz w:val="24"/>
          <w:szCs w:val="24"/>
        </w:rPr>
      </w:pPr>
    </w:p>
    <w:p w14:paraId="21F12D4D" w14:textId="77777777" w:rsidR="00AB4F34" w:rsidRDefault="00000000" w:rsidP="00AB4F34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sz w:val="24"/>
          <w:szCs w:val="24"/>
        </w:rPr>
        <w:t>My actor’s non</w:t>
      </w:r>
      <w:r w:rsidRPr="00AB4F34">
        <w:rPr>
          <w:rFonts w:ascii="Cambria Math" w:hAnsi="Cambria Math" w:cs="Cambria Math"/>
          <w:sz w:val="24"/>
          <w:szCs w:val="24"/>
        </w:rPr>
        <w:t>‑</w:t>
      </w:r>
      <w:r w:rsidRPr="00AB4F34">
        <w:rPr>
          <w:rFonts w:ascii="Aptos" w:hAnsi="Aptos"/>
          <w:sz w:val="24"/>
          <w:szCs w:val="24"/>
        </w:rPr>
        <w:t>negotiable need is ________.</w:t>
      </w:r>
    </w:p>
    <w:p w14:paraId="3C6399D2" w14:textId="77777777" w:rsidR="00AB4F34" w:rsidRPr="00AB4F34" w:rsidRDefault="00AB4F34" w:rsidP="00AB4F34">
      <w:pPr>
        <w:pStyle w:val="ListParagraph"/>
        <w:rPr>
          <w:rFonts w:ascii="Aptos" w:hAnsi="Aptos"/>
          <w:sz w:val="24"/>
          <w:szCs w:val="24"/>
        </w:rPr>
      </w:pPr>
    </w:p>
    <w:p w14:paraId="7DB5B4C4" w14:textId="249FCFBC" w:rsidR="004A2AA6" w:rsidRPr="00AB4F34" w:rsidRDefault="00000000" w:rsidP="00AB4F34">
      <w:pPr>
        <w:pStyle w:val="ListParagraph"/>
        <w:numPr>
          <w:ilvl w:val="0"/>
          <w:numId w:val="12"/>
        </w:numPr>
        <w:spacing w:after="0" w:line="240" w:lineRule="auto"/>
        <w:rPr>
          <w:rFonts w:ascii="Aptos" w:hAnsi="Aptos"/>
          <w:sz w:val="24"/>
          <w:szCs w:val="24"/>
        </w:rPr>
      </w:pPr>
      <w:r w:rsidRPr="00AB4F34">
        <w:rPr>
          <w:rFonts w:ascii="Aptos" w:hAnsi="Aptos"/>
          <w:sz w:val="24"/>
          <w:szCs w:val="24"/>
        </w:rPr>
        <w:t>A settlement will fail unless ________ is addressed.</w:t>
      </w:r>
    </w:p>
    <w:sectPr w:rsidR="004A2AA6" w:rsidRPr="00AB4F34" w:rsidSect="00C41FF1">
      <w:footerReference w:type="even" r:id="rId8"/>
      <w:footerReference w:type="default" r:id="rId9"/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453F5" w14:textId="77777777" w:rsidR="00423C32" w:rsidRDefault="00423C32" w:rsidP="00391146">
      <w:pPr>
        <w:spacing w:after="0" w:line="240" w:lineRule="auto"/>
      </w:pPr>
      <w:r>
        <w:separator/>
      </w:r>
    </w:p>
  </w:endnote>
  <w:endnote w:type="continuationSeparator" w:id="0">
    <w:p w14:paraId="705CDCF8" w14:textId="77777777" w:rsidR="00423C32" w:rsidRDefault="00423C32" w:rsidP="0039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05090142"/>
      <w:docPartObj>
        <w:docPartGallery w:val="Page Numbers (Bottom of Page)"/>
        <w:docPartUnique/>
      </w:docPartObj>
    </w:sdtPr>
    <w:sdtContent>
      <w:p w14:paraId="1DFFA551" w14:textId="0B17DCD9" w:rsidR="00391146" w:rsidRDefault="00391146" w:rsidP="009A70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E73C44" w14:textId="77777777" w:rsidR="00391146" w:rsidRDefault="00391146" w:rsidP="003911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1176560"/>
      <w:docPartObj>
        <w:docPartGallery w:val="Page Numbers (Bottom of Page)"/>
        <w:docPartUnique/>
      </w:docPartObj>
    </w:sdtPr>
    <w:sdtContent>
      <w:p w14:paraId="46EAA4B8" w14:textId="4D96D879" w:rsidR="00391146" w:rsidRDefault="00391146" w:rsidP="009A70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CD8DEDE" w14:textId="77777777" w:rsidR="00391146" w:rsidRDefault="00391146" w:rsidP="0039114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36694" w14:textId="77777777" w:rsidR="00423C32" w:rsidRDefault="00423C32" w:rsidP="00391146">
      <w:pPr>
        <w:spacing w:after="0" w:line="240" w:lineRule="auto"/>
      </w:pPr>
      <w:r>
        <w:separator/>
      </w:r>
    </w:p>
  </w:footnote>
  <w:footnote w:type="continuationSeparator" w:id="0">
    <w:p w14:paraId="77796165" w14:textId="77777777" w:rsidR="00423C32" w:rsidRDefault="00423C32" w:rsidP="00391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8D03368"/>
    <w:multiLevelType w:val="multilevel"/>
    <w:tmpl w:val="D740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8A7E01"/>
    <w:multiLevelType w:val="hybridMultilevel"/>
    <w:tmpl w:val="6B3A2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E13AE"/>
    <w:multiLevelType w:val="hybridMultilevel"/>
    <w:tmpl w:val="B4801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D7918"/>
    <w:multiLevelType w:val="hybridMultilevel"/>
    <w:tmpl w:val="789C75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741064">
    <w:abstractNumId w:val="8"/>
  </w:num>
  <w:num w:numId="2" w16cid:durableId="904148276">
    <w:abstractNumId w:val="6"/>
  </w:num>
  <w:num w:numId="3" w16cid:durableId="1003050323">
    <w:abstractNumId w:val="5"/>
  </w:num>
  <w:num w:numId="4" w16cid:durableId="890531129">
    <w:abstractNumId w:val="4"/>
  </w:num>
  <w:num w:numId="5" w16cid:durableId="166333068">
    <w:abstractNumId w:val="7"/>
  </w:num>
  <w:num w:numId="6" w16cid:durableId="399140272">
    <w:abstractNumId w:val="3"/>
  </w:num>
  <w:num w:numId="7" w16cid:durableId="1038042936">
    <w:abstractNumId w:val="2"/>
  </w:num>
  <w:num w:numId="8" w16cid:durableId="510532594">
    <w:abstractNumId w:val="1"/>
  </w:num>
  <w:num w:numId="9" w16cid:durableId="1074475791">
    <w:abstractNumId w:val="0"/>
  </w:num>
  <w:num w:numId="10" w16cid:durableId="1898469760">
    <w:abstractNumId w:val="11"/>
  </w:num>
  <w:num w:numId="11" w16cid:durableId="1454901776">
    <w:abstractNumId w:val="10"/>
  </w:num>
  <w:num w:numId="12" w16cid:durableId="396979572">
    <w:abstractNumId w:val="12"/>
  </w:num>
  <w:num w:numId="13" w16cid:durableId="8614376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2CF3"/>
    <w:rsid w:val="00391146"/>
    <w:rsid w:val="00423C32"/>
    <w:rsid w:val="004A2AA6"/>
    <w:rsid w:val="005479DF"/>
    <w:rsid w:val="00613725"/>
    <w:rsid w:val="008D69BF"/>
    <w:rsid w:val="009B6994"/>
    <w:rsid w:val="00AA1D8D"/>
    <w:rsid w:val="00AB4F34"/>
    <w:rsid w:val="00B47730"/>
    <w:rsid w:val="00C41FF1"/>
    <w:rsid w:val="00CB0664"/>
    <w:rsid w:val="00FA0183"/>
    <w:rsid w:val="00FB1C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E5CA2F"/>
  <w14:defaultImageDpi w14:val="300"/>
  <w15:docId w15:val="{190052ED-925F-BE45-9808-BA6985FB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391146"/>
  </w:style>
  <w:style w:type="paragraph" w:customStyle="1" w:styleId="p1">
    <w:name w:val="p1"/>
    <w:basedOn w:val="Normal"/>
    <w:rsid w:val="00FA0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FA0183"/>
  </w:style>
  <w:style w:type="character" w:customStyle="1" w:styleId="apple-converted-space">
    <w:name w:val="apple-converted-space"/>
    <w:basedOn w:val="DefaultParagraphFont"/>
    <w:rsid w:val="00FA0183"/>
  </w:style>
  <w:style w:type="character" w:customStyle="1" w:styleId="s2">
    <w:name w:val="s2"/>
    <w:basedOn w:val="DefaultParagraphFont"/>
    <w:rsid w:val="00FA0183"/>
  </w:style>
  <w:style w:type="paragraph" w:customStyle="1" w:styleId="p3">
    <w:name w:val="p3"/>
    <w:basedOn w:val="Normal"/>
    <w:rsid w:val="00FA0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 G Papadopoulos</cp:lastModifiedBy>
  <cp:revision>7</cp:revision>
  <dcterms:created xsi:type="dcterms:W3CDTF">2013-12-23T23:15:00Z</dcterms:created>
  <dcterms:modified xsi:type="dcterms:W3CDTF">2026-01-21T12:54:00Z</dcterms:modified>
  <cp:category/>
</cp:coreProperties>
</file>